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pStyle w:val="1"/>
        <w:spacing w:after="260" w:line="254" w:lineRule="auto"/>
        <w:ind w:firstLine="0"/>
        <w:jc w:val="center"/>
        <w:rPr>
          <w:sz w:val="20"/>
          <w:szCs w:val="20"/>
        </w:rPr>
      </w:pPr>
      <w:r>
        <w:rPr>
          <w:b/>
          <w:bCs/>
          <w:sz w:val="20"/>
          <w:szCs w:val="20"/>
        </w:rPr>
        <w:t>ИНФОРМАЦИОННОЕ СООБЩЕНИЕ</w:t>
      </w:r>
      <w:r>
        <w:rPr>
          <w:b/>
          <w:bCs/>
          <w:sz w:val="20"/>
          <w:szCs w:val="20"/>
        </w:rPr>
        <w:br/>
        <w:t>о проведении аукциона в электронной форме</w:t>
      </w:r>
      <w:r>
        <w:rPr>
          <w:b/>
          <w:bCs/>
          <w:sz w:val="20"/>
          <w:szCs w:val="20"/>
        </w:rPr>
        <w:br/>
        <w:t xml:space="preserve">по продаже земельного участка </w:t>
      </w:r>
    </w:p>
    <w:p>
      <w:pPr>
        <w:pStyle w:val="1"/>
        <w:spacing w:after="260" w:line="240" w:lineRule="auto"/>
        <w:ind w:firstLine="0"/>
        <w:jc w:val="center"/>
        <w:rPr>
          <w:sz w:val="20"/>
          <w:szCs w:val="20"/>
        </w:rPr>
      </w:pPr>
      <w:r>
        <w:rPr>
          <w:sz w:val="20"/>
          <w:szCs w:val="20"/>
        </w:rPr>
        <w:t>Адрес электронной торговой площадки - utp.sberbank-ast.ru</w:t>
      </w:r>
    </w:p>
    <w:p>
      <w:pPr>
        <w:pStyle w:val="1"/>
        <w:spacing w:line="240" w:lineRule="auto"/>
        <w:ind w:firstLine="0"/>
        <w:jc w:val="center"/>
        <w:rPr>
          <w:sz w:val="20"/>
          <w:szCs w:val="20"/>
        </w:rPr>
        <w:sectPr>
          <w:pgSz w:w="11900" w:h="16840"/>
          <w:pgMar w:top="1388" w:right="1141" w:bottom="1388" w:left="1407" w:header="960" w:footer="960" w:gutter="0"/>
          <w:pgNumType w:start="1"/>
          <w:cols w:space="720"/>
          <w:noEndnote/>
          <w:docGrid w:linePitch="360"/>
        </w:sectPr>
      </w:pPr>
      <w:r>
        <w:rPr>
          <w:sz w:val="20"/>
          <w:szCs w:val="20"/>
        </w:rPr>
        <w:t>Оператор - АО «Сбербанк-АСТ»</w:t>
      </w:r>
      <w:r>
        <w:rPr>
          <w:sz w:val="20"/>
          <w:szCs w:val="20"/>
        </w:rPr>
        <w:br/>
        <w:t>(торговая секция «Приватизация, аренда и продажа прав»)</w:t>
      </w:r>
    </w:p>
    <w:p>
      <w:pPr>
        <w:pStyle w:val="1"/>
        <w:spacing w:before="400" w:after="100"/>
        <w:ind w:firstLine="0"/>
        <w:jc w:val="center"/>
        <w:rPr>
          <w:sz w:val="20"/>
          <w:szCs w:val="20"/>
        </w:rPr>
      </w:pPr>
      <w:r>
        <w:rPr>
          <w:b/>
          <w:bCs/>
          <w:sz w:val="20"/>
          <w:szCs w:val="20"/>
        </w:rPr>
        <w:lastRenderedPageBreak/>
        <w:t>1. ТЕРМИНЫ И ОПРЕДЕЛЕНИЯ</w:t>
      </w:r>
    </w:p>
    <w:p>
      <w:pPr>
        <w:pStyle w:val="1"/>
        <w:spacing w:after="100" w:line="240" w:lineRule="auto"/>
        <w:ind w:firstLine="0"/>
        <w:jc w:val="both"/>
        <w:rPr>
          <w:sz w:val="20"/>
          <w:szCs w:val="20"/>
        </w:rPr>
      </w:pPr>
      <w:r>
        <w:rPr>
          <w:b/>
          <w:bCs/>
          <w:sz w:val="20"/>
          <w:szCs w:val="20"/>
        </w:rPr>
        <w:t xml:space="preserve">Оператор универсальной торговой платформы, торговой секции (Оператор, Оператор УТП, Оператор ТС) - </w:t>
      </w:r>
      <w:r>
        <w:rPr>
          <w:sz w:val="20"/>
          <w:szCs w:val="20"/>
        </w:rPr>
        <w:t>АО «Сбербанк-АСТ».</w:t>
      </w:r>
    </w:p>
    <w:p>
      <w:pPr>
        <w:pStyle w:val="1"/>
        <w:spacing w:after="100"/>
        <w:ind w:firstLine="0"/>
        <w:jc w:val="both"/>
        <w:rPr>
          <w:sz w:val="20"/>
          <w:szCs w:val="20"/>
        </w:rPr>
      </w:pPr>
      <w:r>
        <w:rPr>
          <w:b/>
          <w:bCs/>
          <w:sz w:val="20"/>
          <w:szCs w:val="20"/>
        </w:rPr>
        <w:t xml:space="preserve">Имущество (лоты) продажи (объекты) - </w:t>
      </w:r>
      <w:r>
        <w:rPr>
          <w:sz w:val="20"/>
          <w:szCs w:val="20"/>
        </w:rPr>
        <w:t>имущество, право на которое передается по договору купли-продажи (далее - Имущество),</w:t>
      </w:r>
    </w:p>
    <w:p>
      <w:pPr>
        <w:pStyle w:val="1"/>
        <w:spacing w:after="100" w:line="240" w:lineRule="auto"/>
        <w:ind w:firstLine="0"/>
        <w:jc w:val="both"/>
        <w:rPr>
          <w:sz w:val="20"/>
          <w:szCs w:val="20"/>
        </w:rPr>
      </w:pPr>
      <w:r>
        <w:rPr>
          <w:b/>
          <w:bCs/>
          <w:sz w:val="20"/>
          <w:szCs w:val="20"/>
        </w:rPr>
        <w:t xml:space="preserve">Лот - </w:t>
      </w:r>
      <w:r>
        <w:rPr>
          <w:sz w:val="20"/>
          <w:szCs w:val="20"/>
        </w:rPr>
        <w:t>имущество, являющееся предметом торгов, реализуемое в ходе проведения одной процедуры продажи (электронной продажи).</w:t>
      </w:r>
    </w:p>
    <w:p>
      <w:pPr>
        <w:pStyle w:val="1"/>
        <w:spacing w:after="100"/>
        <w:ind w:firstLine="0"/>
        <w:jc w:val="both"/>
        <w:rPr>
          <w:sz w:val="20"/>
          <w:szCs w:val="20"/>
        </w:rPr>
      </w:pPr>
      <w:r>
        <w:rPr>
          <w:b/>
          <w:bCs/>
          <w:sz w:val="20"/>
          <w:szCs w:val="20"/>
        </w:rPr>
        <w:t xml:space="preserve">Предмет аукциона - </w:t>
      </w:r>
      <w:r>
        <w:rPr>
          <w:sz w:val="20"/>
          <w:szCs w:val="20"/>
        </w:rPr>
        <w:t>имущество (лот), подлежащее продаже на аукционе.</w:t>
      </w:r>
    </w:p>
    <w:p>
      <w:pPr>
        <w:pStyle w:val="1"/>
        <w:spacing w:after="100" w:line="257" w:lineRule="auto"/>
        <w:ind w:firstLine="0"/>
        <w:jc w:val="both"/>
        <w:rPr>
          <w:sz w:val="20"/>
          <w:szCs w:val="20"/>
        </w:rPr>
      </w:pPr>
      <w:r>
        <w:rPr>
          <w:b/>
          <w:bCs/>
          <w:sz w:val="20"/>
          <w:szCs w:val="20"/>
        </w:rPr>
        <w:t xml:space="preserve">Извещение о проведении торгов, Информационное сообщение о проведении аукциона (далее - </w:t>
      </w:r>
      <w:r>
        <w:rPr>
          <w:sz w:val="20"/>
          <w:szCs w:val="20"/>
        </w:rPr>
        <w:t>Информационное сообщение) - комплект документов, содержащий сведения о проведении продажи на аукционе, о предмете продажи, условиях и порядке ее проведения, условиях и сроках подписания договора купли-продажи, иных существенных условиях, включая проект договора купли-продажи и другие документы.</w:t>
      </w:r>
    </w:p>
    <w:p>
      <w:pPr>
        <w:pStyle w:val="1"/>
        <w:spacing w:after="100"/>
        <w:ind w:firstLine="0"/>
        <w:jc w:val="both"/>
        <w:rPr>
          <w:sz w:val="20"/>
          <w:szCs w:val="20"/>
        </w:rPr>
      </w:pPr>
      <w:r>
        <w:rPr>
          <w:b/>
          <w:bCs/>
          <w:sz w:val="20"/>
          <w:szCs w:val="20"/>
        </w:rPr>
        <w:t xml:space="preserve">Продавец – </w:t>
      </w:r>
      <w:r>
        <w:rPr>
          <w:sz w:val="20"/>
          <w:szCs w:val="20"/>
        </w:rPr>
        <w:t>Администрация Вологодского муниципального округа Вологодской области.</w:t>
      </w:r>
    </w:p>
    <w:p>
      <w:pPr>
        <w:pStyle w:val="1"/>
        <w:spacing w:after="100" w:line="257" w:lineRule="auto"/>
        <w:ind w:firstLine="0"/>
        <w:jc w:val="both"/>
        <w:rPr>
          <w:sz w:val="20"/>
          <w:szCs w:val="20"/>
        </w:rPr>
      </w:pPr>
      <w:r>
        <w:rPr>
          <w:b/>
          <w:bCs/>
          <w:sz w:val="20"/>
          <w:szCs w:val="20"/>
        </w:rPr>
        <w:t xml:space="preserve">Оператор (электронная торговая площадка) </w:t>
      </w:r>
      <w:r>
        <w:rPr>
          <w:sz w:val="20"/>
          <w:szCs w:val="20"/>
        </w:rPr>
        <w:t>- АО «Сбербанк - АСТ», адрес в сети «Интернет» utp.sberbank-ast.ru.</w:t>
      </w:r>
    </w:p>
    <w:p>
      <w:pPr>
        <w:pStyle w:val="1"/>
        <w:spacing w:after="100"/>
        <w:ind w:firstLine="0"/>
        <w:jc w:val="both"/>
        <w:rPr>
          <w:sz w:val="20"/>
          <w:szCs w:val="20"/>
        </w:rPr>
      </w:pPr>
      <w:r>
        <w:rPr>
          <w:b/>
          <w:bCs/>
          <w:sz w:val="20"/>
          <w:szCs w:val="20"/>
        </w:rPr>
        <w:t xml:space="preserve">Заявка - </w:t>
      </w:r>
      <w:r>
        <w:rPr>
          <w:sz w:val="20"/>
          <w:szCs w:val="20"/>
        </w:rPr>
        <w:t>комплект документов, представленный претендентом в срок и по форме, который установлен в Информационном сообщении.</w:t>
      </w:r>
    </w:p>
    <w:p>
      <w:pPr>
        <w:pStyle w:val="1"/>
        <w:spacing w:after="100"/>
        <w:ind w:firstLine="0"/>
        <w:jc w:val="both"/>
        <w:rPr>
          <w:sz w:val="20"/>
          <w:szCs w:val="20"/>
        </w:rPr>
      </w:pPr>
      <w:r>
        <w:rPr>
          <w:b/>
          <w:bCs/>
          <w:sz w:val="20"/>
          <w:szCs w:val="20"/>
        </w:rPr>
        <w:t xml:space="preserve">Претендент - </w:t>
      </w:r>
      <w:r>
        <w:rPr>
          <w:sz w:val="20"/>
          <w:szCs w:val="20"/>
        </w:rPr>
        <w:t>физическое лицо, прошедшее процедуру регистрации в соответствии с Регламентом ЭТП, подавшее в установленном порядке заявку и документы для участия в продаже, намеревающееся принять участие в аукционе.</w:t>
      </w:r>
    </w:p>
    <w:p>
      <w:pPr>
        <w:pStyle w:val="1"/>
        <w:spacing w:after="100" w:line="257" w:lineRule="auto"/>
        <w:ind w:firstLine="0"/>
        <w:jc w:val="both"/>
        <w:rPr>
          <w:sz w:val="20"/>
          <w:szCs w:val="20"/>
        </w:rPr>
      </w:pPr>
      <w:r>
        <w:rPr>
          <w:b/>
          <w:bCs/>
          <w:sz w:val="20"/>
          <w:szCs w:val="20"/>
        </w:rPr>
        <w:t xml:space="preserve">Участник - </w:t>
      </w:r>
      <w:r>
        <w:rPr>
          <w:sz w:val="20"/>
          <w:szCs w:val="20"/>
        </w:rPr>
        <w:t>претендент, признанный в установленном законодательством Российской Федерации порядке участником продажи имущества (далее - участники).</w:t>
      </w:r>
    </w:p>
    <w:p>
      <w:pPr>
        <w:pStyle w:val="1"/>
        <w:spacing w:after="100"/>
        <w:ind w:firstLine="0"/>
        <w:jc w:val="both"/>
        <w:rPr>
          <w:sz w:val="20"/>
          <w:szCs w:val="20"/>
        </w:rPr>
      </w:pPr>
      <w:r>
        <w:rPr>
          <w:b/>
          <w:bCs/>
          <w:sz w:val="20"/>
          <w:szCs w:val="20"/>
        </w:rPr>
        <w:t xml:space="preserve">Единственный участник аукциона - </w:t>
      </w:r>
      <w:r>
        <w:rPr>
          <w:sz w:val="20"/>
          <w:szCs w:val="20"/>
        </w:rPr>
        <w:t>только один Претендент, признанный Участником аукциона.</w:t>
      </w:r>
    </w:p>
    <w:p>
      <w:pPr>
        <w:pStyle w:val="1"/>
        <w:spacing w:after="100"/>
        <w:ind w:firstLine="0"/>
        <w:jc w:val="both"/>
        <w:rPr>
          <w:sz w:val="20"/>
          <w:szCs w:val="20"/>
        </w:rPr>
      </w:pPr>
      <w:r>
        <w:rPr>
          <w:b/>
          <w:bCs/>
          <w:sz w:val="20"/>
          <w:szCs w:val="20"/>
        </w:rPr>
        <w:t xml:space="preserve">Победитель - </w:t>
      </w:r>
      <w:r>
        <w:rPr>
          <w:sz w:val="20"/>
          <w:szCs w:val="20"/>
        </w:rPr>
        <w:t>Участник, предложивший наиболее высокую цену за имущество на аукционе и определенный, в установленном законодательстве Российской Федерации порядке, для заключения договора купли-продажи с Продавцом по результатам продажи в электронной форме.</w:t>
      </w:r>
    </w:p>
    <w:p>
      <w:pPr>
        <w:pStyle w:val="1"/>
        <w:spacing w:after="100"/>
        <w:ind w:firstLine="0"/>
        <w:jc w:val="both"/>
        <w:rPr>
          <w:sz w:val="20"/>
          <w:szCs w:val="20"/>
        </w:rPr>
      </w:pPr>
      <w:r>
        <w:rPr>
          <w:b/>
          <w:bCs/>
          <w:sz w:val="20"/>
          <w:szCs w:val="20"/>
        </w:rPr>
        <w:t xml:space="preserve">Аукционная комиссия </w:t>
      </w:r>
      <w:r>
        <w:rPr>
          <w:sz w:val="20"/>
          <w:szCs w:val="20"/>
        </w:rPr>
        <w:t>- комиссия по проведению продажи.</w:t>
      </w:r>
    </w:p>
    <w:p>
      <w:pPr>
        <w:pStyle w:val="1"/>
        <w:spacing w:after="100"/>
        <w:ind w:firstLine="0"/>
        <w:jc w:val="both"/>
        <w:rPr>
          <w:sz w:val="20"/>
          <w:szCs w:val="20"/>
        </w:rPr>
      </w:pPr>
      <w:r>
        <w:rPr>
          <w:b/>
          <w:bCs/>
          <w:sz w:val="20"/>
          <w:szCs w:val="20"/>
        </w:rPr>
        <w:t xml:space="preserve">Открытая часть электронной площадки — </w:t>
      </w:r>
      <w:r>
        <w:rPr>
          <w:sz w:val="20"/>
          <w:szCs w:val="20"/>
        </w:rPr>
        <w:t>раздел электронной площадки, находящийся в открытом доступе, не требующий регистрации на электронной площадке для работы в нём.</w:t>
      </w:r>
    </w:p>
    <w:p>
      <w:pPr>
        <w:pStyle w:val="1"/>
        <w:spacing w:after="100" w:line="257" w:lineRule="auto"/>
        <w:ind w:firstLine="0"/>
        <w:jc w:val="both"/>
        <w:rPr>
          <w:sz w:val="20"/>
          <w:szCs w:val="20"/>
        </w:rPr>
      </w:pPr>
      <w:r>
        <w:rPr>
          <w:b/>
          <w:bCs/>
          <w:sz w:val="20"/>
          <w:szCs w:val="20"/>
        </w:rPr>
        <w:t xml:space="preserve">Закрытая часть электронной площадки - </w:t>
      </w:r>
      <w:r>
        <w:rPr>
          <w:sz w:val="20"/>
          <w:szCs w:val="20"/>
        </w:rPr>
        <w:t>раздел электронной площадки, доступ к которому имеют только зарегистрированные на электронной площадке Продавец и участники, позволяющий пользователям получить доступ к информации и выполнять определенные действия.</w:t>
      </w:r>
    </w:p>
    <w:p>
      <w:pPr>
        <w:pStyle w:val="1"/>
        <w:spacing w:after="100"/>
        <w:ind w:firstLine="0"/>
        <w:jc w:val="both"/>
        <w:rPr>
          <w:sz w:val="20"/>
          <w:szCs w:val="20"/>
        </w:rPr>
      </w:pPr>
      <w:r>
        <w:rPr>
          <w:b/>
          <w:bCs/>
          <w:sz w:val="20"/>
          <w:szCs w:val="20"/>
        </w:rPr>
        <w:t xml:space="preserve">Электронная подпись </w:t>
      </w:r>
      <w:r>
        <w:rPr>
          <w:sz w:val="20"/>
          <w:szCs w:val="20"/>
        </w:rPr>
        <w:t>- 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 реквизит электронного документа, предназначенный для защиты данного электронного документа от подделки, полученный в результате криптографического преобразования информации с использованием закрытого ключа электронной подписи и позволяющий идентифицировать владельца сертификата ключа подписи, а также установить отсутствие искажения информации в электронном документе. Виды электронных подписей и порядок их получения определены в регламенте УТП.</w:t>
      </w:r>
    </w:p>
    <w:p>
      <w:pPr>
        <w:pStyle w:val="1"/>
        <w:spacing w:after="100" w:line="259" w:lineRule="auto"/>
        <w:ind w:firstLine="0"/>
        <w:jc w:val="both"/>
        <w:rPr>
          <w:sz w:val="20"/>
          <w:szCs w:val="20"/>
        </w:rPr>
      </w:pPr>
      <w:r>
        <w:rPr>
          <w:sz w:val="20"/>
          <w:szCs w:val="20"/>
        </w:rPr>
        <w:t>В соответствии с нормами ст. 11 Федерального закона от 06.04.2011 г. № 63-ФЗ «Об электронной подписи» проводится проверка принадлежности владельцу квалифицированного сертификата квалифицированной электронной подписи. Для этого используется квалифицированный сертификат лица, подписавшего документ. Соответственно, рекомендуем использовать электронные подписи, квалифицированный сертификат, срок действия которого истекает не позже чем за 3 месяца с даты подписи.</w:t>
      </w:r>
    </w:p>
    <w:p>
      <w:pPr>
        <w:pStyle w:val="1"/>
        <w:spacing w:after="100" w:line="262" w:lineRule="auto"/>
        <w:ind w:firstLine="0"/>
        <w:jc w:val="both"/>
        <w:rPr>
          <w:sz w:val="20"/>
          <w:szCs w:val="20"/>
        </w:rPr>
      </w:pPr>
      <w:r>
        <w:rPr>
          <w:b/>
          <w:bCs/>
          <w:sz w:val="20"/>
          <w:szCs w:val="20"/>
        </w:rPr>
        <w:t xml:space="preserve">Электронный документ </w:t>
      </w:r>
      <w:r>
        <w:rPr>
          <w:sz w:val="20"/>
          <w:szCs w:val="20"/>
        </w:rPr>
        <w:t>- документ, в котором информация представлена в электронно-цифровой форме, подписанный электронной подписью лица, имеющего право действовать от имени лица, направившего такой документ.</w:t>
      </w:r>
    </w:p>
    <w:p>
      <w:pPr>
        <w:pStyle w:val="1"/>
        <w:spacing w:after="100" w:line="257" w:lineRule="auto"/>
        <w:ind w:firstLine="0"/>
        <w:jc w:val="both"/>
        <w:rPr>
          <w:sz w:val="20"/>
          <w:szCs w:val="20"/>
        </w:rPr>
      </w:pPr>
      <w:r>
        <w:rPr>
          <w:b/>
          <w:bCs/>
          <w:sz w:val="20"/>
          <w:szCs w:val="20"/>
        </w:rPr>
        <w:t xml:space="preserve">Электронный образ документа - </w:t>
      </w:r>
      <w:r>
        <w:rPr>
          <w:sz w:val="20"/>
          <w:szCs w:val="20"/>
        </w:rPr>
        <w:t>электронная копия документа, выполненного на бумажном носителе, заверенная электронной подписью лица, имеющего право действовать от имени лица, направившего такую копию документа.</w:t>
      </w:r>
    </w:p>
    <w:p>
      <w:pPr>
        <w:pStyle w:val="1"/>
        <w:spacing w:after="100" w:line="264" w:lineRule="auto"/>
        <w:ind w:firstLine="0"/>
        <w:jc w:val="both"/>
        <w:rPr>
          <w:sz w:val="20"/>
          <w:szCs w:val="20"/>
        </w:rPr>
      </w:pPr>
      <w:r>
        <w:rPr>
          <w:b/>
          <w:bCs/>
          <w:sz w:val="20"/>
          <w:szCs w:val="20"/>
        </w:rPr>
        <w:lastRenderedPageBreak/>
        <w:t xml:space="preserve">Электронное сообщение </w:t>
      </w:r>
      <w:r>
        <w:rPr>
          <w:sz w:val="20"/>
          <w:szCs w:val="20"/>
        </w:rPr>
        <w:t>(электронное уведомление) - информация, направляемая пользователями электронной площадки друг другу в процессе работы на электронной площадке.</w:t>
      </w:r>
    </w:p>
    <w:p>
      <w:pPr>
        <w:pStyle w:val="1"/>
        <w:spacing w:after="100" w:line="257" w:lineRule="auto"/>
        <w:ind w:firstLine="0"/>
        <w:jc w:val="both"/>
        <w:rPr>
          <w:sz w:val="20"/>
          <w:szCs w:val="20"/>
        </w:rPr>
      </w:pPr>
      <w:r>
        <w:rPr>
          <w:b/>
          <w:bCs/>
          <w:sz w:val="20"/>
          <w:szCs w:val="20"/>
        </w:rPr>
        <w:t xml:space="preserve">Электронный журнал - </w:t>
      </w:r>
      <w:r>
        <w:rPr>
          <w:sz w:val="20"/>
          <w:szCs w:val="20"/>
        </w:rPr>
        <w:t>электронный документ, в котором Оператором посредством программных и технических средств электронной площадки фиксируется ход проведения процедуры электронного аукциона.</w:t>
      </w:r>
    </w:p>
    <w:p>
      <w:pPr>
        <w:pStyle w:val="1"/>
        <w:spacing w:after="100" w:line="240" w:lineRule="auto"/>
        <w:ind w:firstLine="0"/>
        <w:jc w:val="both"/>
        <w:rPr>
          <w:sz w:val="20"/>
          <w:szCs w:val="20"/>
        </w:rPr>
      </w:pPr>
      <w:r>
        <w:rPr>
          <w:b/>
          <w:bCs/>
          <w:sz w:val="20"/>
          <w:szCs w:val="20"/>
        </w:rPr>
        <w:t xml:space="preserve">Шаг аукциона - </w:t>
      </w:r>
      <w:r>
        <w:rPr>
          <w:sz w:val="20"/>
          <w:szCs w:val="20"/>
        </w:rPr>
        <w:t>установленная Продавцом в фиксированной сумме и не изменяющаяся в течение всего электронного аукциона величина, составляющая не более 3 процентов начальной цены продажи, на которую в ходе процедуры электронного аукциона его участниками последовательно повышается начальная цена продажи.</w:t>
      </w:r>
    </w:p>
    <w:p>
      <w:pPr>
        <w:pStyle w:val="1"/>
        <w:spacing w:after="100" w:line="257" w:lineRule="auto"/>
        <w:ind w:firstLine="0"/>
        <w:jc w:val="both"/>
        <w:rPr>
          <w:sz w:val="20"/>
          <w:szCs w:val="20"/>
        </w:rPr>
      </w:pPr>
      <w:r>
        <w:rPr>
          <w:b/>
          <w:bCs/>
          <w:sz w:val="20"/>
          <w:szCs w:val="20"/>
        </w:rPr>
        <w:t xml:space="preserve">Личный кабинет </w:t>
      </w:r>
      <w:r>
        <w:rPr>
          <w:sz w:val="20"/>
          <w:szCs w:val="20"/>
        </w:rPr>
        <w:t>- доступный Пользователю после регистрации в торговой секции набор программных инструментов, позволяющих получать предоставляемые Оператором услуги, информацию о ходе их оказания.</w:t>
      </w:r>
    </w:p>
    <w:p>
      <w:pPr>
        <w:pStyle w:val="1"/>
        <w:spacing w:after="100" w:line="254" w:lineRule="auto"/>
        <w:ind w:firstLine="0"/>
        <w:jc w:val="both"/>
        <w:rPr>
          <w:sz w:val="20"/>
          <w:szCs w:val="20"/>
        </w:rPr>
      </w:pPr>
      <w:r>
        <w:rPr>
          <w:b/>
          <w:bCs/>
          <w:sz w:val="20"/>
          <w:szCs w:val="20"/>
        </w:rPr>
        <w:t xml:space="preserve">Официальные сайты торгов по продаже имущества - </w:t>
      </w:r>
      <w:r>
        <w:rPr>
          <w:sz w:val="20"/>
          <w:szCs w:val="20"/>
        </w:rPr>
        <w:t xml:space="preserve">официальный сайт Российской Федерации для размещения информации о проведении торгов в сети «Интернет» </w:t>
      </w:r>
      <w:hyperlink r:id="rId7" w:history="1">
        <w:r>
          <w:rPr>
            <w:sz w:val="20"/>
            <w:szCs w:val="20"/>
          </w:rPr>
          <w:t>www.torgi.gov.ru/new</w:t>
        </w:r>
      </w:hyperlink>
      <w:r>
        <w:rPr>
          <w:sz w:val="20"/>
          <w:szCs w:val="20"/>
        </w:rPr>
        <w:t>, официальный сайт Администрации Вологодского муниципального округа Вологодской области (далее - АВМО) в сети «Интернет» 35vologodskij.gosuslugi.ru, сайт Оператора в сети «Интернет» u</w:t>
      </w:r>
      <w:r>
        <w:rPr>
          <w:sz w:val="20"/>
          <w:szCs w:val="20"/>
          <w:lang w:val="en-US"/>
        </w:rPr>
        <w:t>t</w:t>
      </w:r>
      <w:r>
        <w:rPr>
          <w:sz w:val="20"/>
          <w:szCs w:val="20"/>
        </w:rPr>
        <w:t>p.sberbank-ast.ru.</w:t>
      </w:r>
    </w:p>
    <w:p>
      <w:pPr>
        <w:pStyle w:val="1"/>
        <w:spacing w:after="460" w:line="254" w:lineRule="auto"/>
        <w:ind w:firstLine="0"/>
        <w:jc w:val="both"/>
        <w:rPr>
          <w:sz w:val="20"/>
          <w:szCs w:val="20"/>
        </w:rPr>
      </w:pPr>
      <w:r>
        <w:rPr>
          <w:b/>
          <w:bCs/>
          <w:sz w:val="20"/>
          <w:szCs w:val="20"/>
        </w:rPr>
        <w:t xml:space="preserve">ГИС Торги - </w:t>
      </w:r>
      <w:r>
        <w:rPr>
          <w:sz w:val="20"/>
          <w:szCs w:val="20"/>
        </w:rPr>
        <w:t xml:space="preserve">государственная информационная система «Официальный сайт Российской Федерации в информационно-телекоммуникационной сети «Интернет» </w:t>
      </w:r>
      <w:hyperlink r:id="rId8" w:history="1">
        <w:r>
          <w:rPr>
            <w:sz w:val="20"/>
            <w:szCs w:val="20"/>
          </w:rPr>
          <w:t>www.torgi.gov.ru</w:t>
        </w:r>
      </w:hyperlink>
      <w:r>
        <w:rPr>
          <w:sz w:val="20"/>
          <w:szCs w:val="20"/>
        </w:rPr>
        <w:t xml:space="preserve"> для размещения информации о проведении торгов.</w:t>
      </w:r>
    </w:p>
    <w:p>
      <w:pPr>
        <w:pStyle w:val="1"/>
        <w:spacing w:after="100" w:line="259" w:lineRule="auto"/>
        <w:ind w:firstLine="0"/>
        <w:jc w:val="both"/>
        <w:rPr>
          <w:sz w:val="20"/>
          <w:szCs w:val="20"/>
        </w:rPr>
      </w:pPr>
      <w:r>
        <w:rPr>
          <w:sz w:val="20"/>
          <w:szCs w:val="20"/>
        </w:rPr>
        <w:t>При исчислении сроков, указанных в настоящем информационном сообщении, принимается время сервера электронной торговой площадки АО «Сбербанк-АСТ» - московское.</w:t>
      </w:r>
      <w:r>
        <w:rPr>
          <w:sz w:val="20"/>
          <w:szCs w:val="20"/>
        </w:rPr>
        <w:br w:type="page"/>
      </w:r>
    </w:p>
    <w:p>
      <w:pPr>
        <w:pStyle w:val="1"/>
        <w:spacing w:after="440" w:line="240" w:lineRule="auto"/>
        <w:ind w:firstLine="0"/>
        <w:jc w:val="center"/>
        <w:rPr>
          <w:sz w:val="20"/>
          <w:szCs w:val="20"/>
        </w:rPr>
      </w:pPr>
      <w:r>
        <w:rPr>
          <w:b/>
          <w:bCs/>
          <w:sz w:val="20"/>
          <w:szCs w:val="20"/>
        </w:rPr>
        <w:lastRenderedPageBreak/>
        <w:t>2. ИНФОРМАЦИЯ ОБ АУКЦИОНЕ</w:t>
      </w:r>
    </w:p>
    <w:tbl>
      <w:tblPr>
        <w:tblOverlap w:val="never"/>
        <w:tblW w:w="9508" w:type="dxa"/>
        <w:tblLayout w:type="fixed"/>
        <w:tblCellMar>
          <w:left w:w="10" w:type="dxa"/>
          <w:right w:w="10" w:type="dxa"/>
        </w:tblCellMar>
        <w:tblLook w:val="0000" w:firstRow="0" w:lastRow="0" w:firstColumn="0" w:lastColumn="0" w:noHBand="0" w:noVBand="0"/>
      </w:tblPr>
      <w:tblGrid>
        <w:gridCol w:w="3696"/>
        <w:gridCol w:w="5812"/>
      </w:tblGrid>
      <w:tr>
        <w:trPr>
          <w:trHeight w:hRule="exact" w:val="1143"/>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Форма проведения торгов</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 xml:space="preserve">Электронный аукцион, открытый по составу участников </w:t>
            </w:r>
            <w:r>
              <w:rPr>
                <w:b/>
                <w:bCs/>
                <w:sz w:val="20"/>
                <w:szCs w:val="20"/>
              </w:rPr>
              <w:t xml:space="preserve">(участниками Аукциона могут являться только граждане), </w:t>
            </w:r>
            <w:r>
              <w:rPr>
                <w:sz w:val="20"/>
                <w:szCs w:val="20"/>
              </w:rPr>
              <w:t>открытый по форме подачи предложений о цене (далее - Аукцион)</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1332"/>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Организатор аукциона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Администрация Вологодского муниципального округа Вологодской области. Адрес местонахождения:</w:t>
            </w:r>
            <w:r>
              <w:rPr>
                <w:sz w:val="20"/>
                <w:szCs w:val="20"/>
              </w:rPr>
              <w:tab/>
              <w:t xml:space="preserve">город Вологда, ул. Пушкинская, д.24, официальный сайт: 35vologodskij.gosuslugi.ru </w:t>
            </w:r>
          </w:p>
          <w:p>
            <w:pPr>
              <w:pStyle w:val="a5"/>
              <w:spacing w:line="240" w:lineRule="auto"/>
              <w:ind w:firstLine="0"/>
              <w:rPr>
                <w:sz w:val="20"/>
                <w:szCs w:val="20"/>
              </w:rPr>
            </w:pPr>
            <w:r>
              <w:rPr>
                <w:sz w:val="20"/>
                <w:szCs w:val="20"/>
              </w:rPr>
              <w:t xml:space="preserve"> электронный адрес: </w:t>
            </w:r>
            <w:hyperlink r:id="rId9" w:history="1">
              <w:r>
                <w:rPr>
                  <w:rStyle w:val="aa"/>
                  <w:sz w:val="20"/>
                  <w:szCs w:val="20"/>
                </w:rPr>
                <w:t>torgi@volraion.ru</w:t>
              </w:r>
            </w:hyperlink>
          </w:p>
          <w:p>
            <w:pPr>
              <w:pStyle w:val="a5"/>
              <w:spacing w:line="240" w:lineRule="auto"/>
              <w:ind w:firstLine="0"/>
              <w:rPr>
                <w:sz w:val="20"/>
                <w:szCs w:val="20"/>
              </w:rPr>
            </w:pPr>
            <w:r>
              <w:rPr>
                <w:sz w:val="20"/>
                <w:szCs w:val="20"/>
              </w:rPr>
              <w:t>телефон/факс: 8(8172)75-90-49</w:t>
            </w:r>
          </w:p>
          <w:p>
            <w:pPr>
              <w:pStyle w:val="a5"/>
              <w:spacing w:line="240" w:lineRule="auto"/>
              <w:ind w:firstLine="0"/>
              <w:rPr>
                <w:sz w:val="20"/>
                <w:szCs w:val="20"/>
              </w:rPr>
            </w:pPr>
          </w:p>
          <w:p>
            <w:pPr>
              <w:pStyle w:val="a5"/>
              <w:spacing w:line="240" w:lineRule="auto"/>
              <w:ind w:firstLine="0"/>
              <w:jc w:val="both"/>
              <w:rPr>
                <w:sz w:val="20"/>
                <w:szCs w:val="20"/>
              </w:rPr>
            </w:pPr>
          </w:p>
        </w:tc>
      </w:tr>
      <w:tr>
        <w:trPr>
          <w:trHeight w:hRule="exact" w:val="706"/>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Продавец</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Администрация Вологодского муниципального округа Вологодской области</w:t>
            </w:r>
          </w:p>
          <w:p>
            <w:pPr>
              <w:pStyle w:val="a5"/>
              <w:spacing w:line="240" w:lineRule="auto"/>
              <w:ind w:firstLine="0"/>
              <w:rPr>
                <w:sz w:val="20"/>
                <w:szCs w:val="20"/>
              </w:rPr>
            </w:pPr>
          </w:p>
        </w:tc>
      </w:tr>
      <w:tr>
        <w:trPr>
          <w:trHeight w:hRule="exact" w:val="501"/>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Оператор электронной площадки</w:t>
            </w: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АО «Сбербанк-АСТ»</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615"/>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b/>
                <w:bCs/>
                <w:sz w:val="20"/>
                <w:szCs w:val="20"/>
              </w:rPr>
              <w:t>Место проведения аукциона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b/>
                <w:bCs/>
                <w:sz w:val="20"/>
                <w:szCs w:val="20"/>
              </w:rPr>
              <w:t>utp.sberbank-ast.ru</w:t>
            </w:r>
          </w:p>
          <w:p>
            <w:pPr>
              <w:pStyle w:val="a5"/>
              <w:spacing w:line="240" w:lineRule="auto"/>
              <w:ind w:firstLine="0"/>
              <w:rPr>
                <w:sz w:val="20"/>
                <w:szCs w:val="20"/>
              </w:rPr>
            </w:pPr>
            <w:r>
              <w:rPr>
                <w:sz w:val="20"/>
                <w:szCs w:val="20"/>
              </w:rPr>
              <w:t>торговая секция «Приватизация, аренда и продажа прав»</w:t>
            </w:r>
          </w:p>
          <w:p>
            <w:pPr>
              <w:pStyle w:val="a5"/>
              <w:spacing w:line="240" w:lineRule="auto"/>
              <w:ind w:firstLine="0"/>
              <w:rPr>
                <w:sz w:val="20"/>
                <w:szCs w:val="20"/>
              </w:rPr>
            </w:pPr>
          </w:p>
        </w:tc>
      </w:tr>
      <w:tr>
        <w:trPr>
          <w:trHeight w:hRule="exact" w:val="517"/>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Место подачи заявок</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utp.sberbank-ast.ru</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890"/>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Плата Оператору электронной площадки за участие в аукционе</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Может взиматься, согласно постановлению Правительства Российской Федерации от 10 мая 2018 г. N 564</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727"/>
        </w:trPr>
        <w:tc>
          <w:tcPr>
            <w:tcW w:w="3696" w:type="dxa"/>
            <w:tcBorders>
              <w:top w:val="single" w:sz="4" w:space="0" w:color="auto"/>
              <w:left w:val="single" w:sz="4" w:space="0" w:color="auto"/>
            </w:tcBorders>
            <w:shd w:val="clear" w:color="auto" w:fill="FFFFFF"/>
            <w:vAlign w:val="bottom"/>
          </w:tcPr>
          <w:p>
            <w:pPr>
              <w:pStyle w:val="a5"/>
              <w:spacing w:line="271" w:lineRule="auto"/>
              <w:ind w:firstLine="0"/>
              <w:rPr>
                <w:sz w:val="20"/>
                <w:szCs w:val="20"/>
              </w:rPr>
            </w:pPr>
            <w:r>
              <w:rPr>
                <w:sz w:val="20"/>
                <w:szCs w:val="20"/>
              </w:rPr>
              <w:t>Дата и время проведения Аукциона и подведения итогов</w:t>
            </w:r>
          </w:p>
          <w:p>
            <w:pPr>
              <w:pStyle w:val="a5"/>
              <w:spacing w:line="271"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4"/>
                <w:szCs w:val="24"/>
              </w:rPr>
            </w:pPr>
            <w:r>
              <w:rPr>
                <w:b/>
                <w:bCs/>
                <w:sz w:val="24"/>
                <w:szCs w:val="24"/>
              </w:rPr>
              <w:t>22 февраля 2024 года с 08:00</w:t>
            </w:r>
          </w:p>
        </w:tc>
      </w:tr>
      <w:tr>
        <w:trPr>
          <w:trHeight w:hRule="exact" w:val="1122"/>
        </w:trPr>
        <w:tc>
          <w:tcPr>
            <w:tcW w:w="3696" w:type="dxa"/>
            <w:tcBorders>
              <w:top w:val="single" w:sz="4" w:space="0" w:color="auto"/>
              <w:left w:val="single" w:sz="4" w:space="0" w:color="auto"/>
            </w:tcBorders>
            <w:shd w:val="clear" w:color="auto" w:fill="FFFFFF"/>
            <w:vAlign w:val="bottom"/>
          </w:tcPr>
          <w:p>
            <w:pPr>
              <w:pStyle w:val="a5"/>
              <w:spacing w:line="276" w:lineRule="auto"/>
              <w:ind w:firstLine="0"/>
              <w:rPr>
                <w:sz w:val="20"/>
                <w:szCs w:val="20"/>
              </w:rPr>
            </w:pPr>
            <w:r>
              <w:rPr>
                <w:sz w:val="20"/>
                <w:szCs w:val="20"/>
              </w:rPr>
              <w:t>Срок поступления Задатка Претендент должен обеспечить наличие денежных средств в размере задатка на своем лицевом счете на электронной площадке</w:t>
            </w:r>
          </w:p>
          <w:p>
            <w:pPr>
              <w:pStyle w:val="a5"/>
              <w:spacing w:line="276"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4"/>
                <w:szCs w:val="24"/>
                <w:lang w:val="en-US"/>
              </w:rPr>
            </w:pPr>
            <w:r>
              <w:rPr>
                <w:b/>
                <w:sz w:val="24"/>
                <w:szCs w:val="24"/>
              </w:rPr>
              <w:t xml:space="preserve">21 февраля 2024 до 00:00 </w:t>
            </w:r>
          </w:p>
        </w:tc>
      </w:tr>
      <w:tr>
        <w:trPr>
          <w:trHeight w:hRule="exact" w:val="498"/>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Дата и время начала приема заявок</w:t>
            </w: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bCs/>
                <w:sz w:val="24"/>
                <w:szCs w:val="24"/>
              </w:rPr>
            </w:pPr>
            <w:r>
              <w:rPr>
                <w:b/>
                <w:sz w:val="24"/>
                <w:szCs w:val="24"/>
              </w:rPr>
              <w:t xml:space="preserve">22 января </w:t>
            </w:r>
            <w:r>
              <w:rPr>
                <w:b/>
                <w:bCs/>
                <w:sz w:val="24"/>
                <w:szCs w:val="24"/>
              </w:rPr>
              <w:t xml:space="preserve">2024 </w:t>
            </w:r>
            <w:r>
              <w:rPr>
                <w:b/>
                <w:sz w:val="24"/>
                <w:szCs w:val="24"/>
              </w:rPr>
              <w:t xml:space="preserve">года </w:t>
            </w:r>
            <w:r>
              <w:rPr>
                <w:b/>
                <w:bCs/>
                <w:sz w:val="24"/>
                <w:szCs w:val="24"/>
              </w:rPr>
              <w:t>с 18:00</w:t>
            </w:r>
          </w:p>
          <w:p>
            <w:pPr>
              <w:pStyle w:val="a5"/>
              <w:spacing w:line="240" w:lineRule="auto"/>
              <w:ind w:firstLine="0"/>
              <w:rPr>
                <w:b/>
                <w:sz w:val="24"/>
                <w:szCs w:val="24"/>
              </w:rPr>
            </w:pPr>
          </w:p>
        </w:tc>
      </w:tr>
      <w:tr>
        <w:trPr>
          <w:trHeight w:hRule="exact" w:val="509"/>
        </w:trPr>
        <w:tc>
          <w:tcPr>
            <w:tcW w:w="3696" w:type="dxa"/>
            <w:tcBorders>
              <w:top w:val="single" w:sz="4" w:space="0" w:color="auto"/>
              <w:left w:val="single" w:sz="4" w:space="0" w:color="auto"/>
            </w:tcBorders>
            <w:shd w:val="clear" w:color="auto" w:fill="FFFFFF"/>
          </w:tcPr>
          <w:p>
            <w:pPr>
              <w:pStyle w:val="a5"/>
              <w:spacing w:line="271" w:lineRule="auto"/>
              <w:ind w:firstLine="0"/>
              <w:rPr>
                <w:sz w:val="20"/>
                <w:szCs w:val="20"/>
              </w:rPr>
            </w:pPr>
            <w:r>
              <w:rPr>
                <w:sz w:val="20"/>
                <w:szCs w:val="20"/>
              </w:rPr>
              <w:t>Дата и время окончания приема заявок</w:t>
            </w: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4"/>
                <w:szCs w:val="24"/>
              </w:rPr>
            </w:pPr>
            <w:r>
              <w:rPr>
                <w:b/>
                <w:sz w:val="24"/>
                <w:szCs w:val="24"/>
              </w:rPr>
              <w:t>20 февраля 2024 года до 08:00</w:t>
            </w:r>
          </w:p>
        </w:tc>
      </w:tr>
      <w:tr>
        <w:trPr>
          <w:trHeight w:hRule="exact" w:val="2157"/>
        </w:trPr>
        <w:tc>
          <w:tcPr>
            <w:tcW w:w="3696" w:type="dxa"/>
            <w:tcBorders>
              <w:top w:val="single" w:sz="4" w:space="0" w:color="auto"/>
              <w:left w:val="single" w:sz="4" w:space="0" w:color="auto"/>
            </w:tcBorders>
            <w:shd w:val="clear" w:color="auto" w:fill="FFFFFF"/>
          </w:tcPr>
          <w:p>
            <w:pPr>
              <w:pStyle w:val="a5"/>
              <w:spacing w:line="276" w:lineRule="auto"/>
              <w:ind w:firstLine="0"/>
              <w:rPr>
                <w:sz w:val="20"/>
                <w:szCs w:val="20"/>
              </w:rPr>
            </w:pPr>
            <w:r>
              <w:rPr>
                <w:sz w:val="20"/>
                <w:szCs w:val="20"/>
              </w:rPr>
              <w:t xml:space="preserve">Реквизиты </w:t>
            </w:r>
            <w:r>
              <w:rPr>
                <w:b/>
                <w:bCs/>
                <w:sz w:val="20"/>
                <w:szCs w:val="20"/>
              </w:rPr>
              <w:t xml:space="preserve">счета оператора торговой площадки для </w:t>
            </w:r>
            <w:r>
              <w:rPr>
                <w:sz w:val="20"/>
                <w:szCs w:val="20"/>
              </w:rPr>
              <w:t>перечисления задатка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76" w:lineRule="auto"/>
              <w:ind w:firstLine="0"/>
              <w:rPr>
                <w:sz w:val="20"/>
                <w:szCs w:val="20"/>
              </w:rPr>
            </w:pPr>
            <w:r>
              <w:rPr>
                <w:sz w:val="20"/>
                <w:szCs w:val="20"/>
              </w:rPr>
              <w:t>ПОЛУЧАТЕЛЬ: Наименование: АО «Сбербанк-АСТ»</w:t>
            </w:r>
          </w:p>
          <w:p>
            <w:pPr>
              <w:pStyle w:val="a5"/>
              <w:spacing w:line="276" w:lineRule="auto"/>
              <w:ind w:firstLine="0"/>
              <w:rPr>
                <w:sz w:val="20"/>
                <w:szCs w:val="20"/>
              </w:rPr>
            </w:pPr>
            <w:r>
              <w:rPr>
                <w:sz w:val="20"/>
                <w:szCs w:val="20"/>
              </w:rPr>
              <w:t>ИНН: 7707308480, КПП: 770401001</w:t>
            </w:r>
          </w:p>
          <w:p>
            <w:pPr>
              <w:pStyle w:val="a5"/>
              <w:spacing w:line="276" w:lineRule="auto"/>
              <w:ind w:firstLine="0"/>
              <w:rPr>
                <w:sz w:val="20"/>
                <w:szCs w:val="20"/>
              </w:rPr>
            </w:pPr>
            <w:r>
              <w:rPr>
                <w:sz w:val="20"/>
                <w:szCs w:val="20"/>
              </w:rPr>
              <w:t>Расчетный счет: 40702810300020038047</w:t>
            </w:r>
          </w:p>
          <w:p>
            <w:pPr>
              <w:pStyle w:val="a5"/>
              <w:spacing w:line="276" w:lineRule="auto"/>
              <w:ind w:firstLine="0"/>
              <w:rPr>
                <w:sz w:val="20"/>
                <w:szCs w:val="20"/>
              </w:rPr>
            </w:pPr>
            <w:r>
              <w:rPr>
                <w:sz w:val="20"/>
                <w:szCs w:val="20"/>
              </w:rPr>
              <w:t>БАНК ПОЛУЧАТЕЛЯ: ПАО «СБЕРБАНК РОССИИ»</w:t>
            </w:r>
          </w:p>
          <w:p>
            <w:pPr>
              <w:pStyle w:val="a5"/>
              <w:spacing w:line="276" w:lineRule="auto"/>
              <w:ind w:firstLine="0"/>
              <w:rPr>
                <w:sz w:val="20"/>
                <w:szCs w:val="20"/>
              </w:rPr>
            </w:pPr>
            <w:r>
              <w:rPr>
                <w:sz w:val="20"/>
                <w:szCs w:val="20"/>
              </w:rPr>
              <w:t>Г. МОСКВА БИК: 044525225,</w:t>
            </w:r>
          </w:p>
          <w:p>
            <w:pPr>
              <w:pStyle w:val="a5"/>
              <w:spacing w:line="276" w:lineRule="auto"/>
              <w:ind w:firstLine="0"/>
              <w:rPr>
                <w:sz w:val="20"/>
                <w:szCs w:val="20"/>
              </w:rPr>
            </w:pPr>
            <w:r>
              <w:rPr>
                <w:sz w:val="20"/>
                <w:szCs w:val="20"/>
              </w:rPr>
              <w:t>Корреспондентский счет: 30101810400000000225.</w:t>
            </w:r>
          </w:p>
          <w:p>
            <w:pPr>
              <w:pStyle w:val="a5"/>
              <w:spacing w:line="276" w:lineRule="auto"/>
              <w:ind w:firstLine="0"/>
              <w:rPr>
                <w:sz w:val="20"/>
                <w:szCs w:val="20"/>
              </w:rPr>
            </w:pPr>
            <w:r>
              <w:rPr>
                <w:sz w:val="20"/>
                <w:szCs w:val="20"/>
              </w:rPr>
              <w:t xml:space="preserve">В платёжном поручении в части </w:t>
            </w:r>
            <w:r>
              <w:rPr>
                <w:sz w:val="20"/>
                <w:szCs w:val="20"/>
                <w:u w:val="single"/>
              </w:rPr>
              <w:t xml:space="preserve">«Назначение платежа»: </w:t>
            </w:r>
            <w:r>
              <w:rPr>
                <w:sz w:val="20"/>
                <w:szCs w:val="20"/>
              </w:rPr>
              <w:t>Перечисление денежных средств в качестве задатка, ИНН плательщика.</w:t>
            </w:r>
          </w:p>
        </w:tc>
      </w:tr>
      <w:tr>
        <w:trPr>
          <w:trHeight w:hRule="exact" w:val="649"/>
        </w:trPr>
        <w:tc>
          <w:tcPr>
            <w:tcW w:w="3696" w:type="dxa"/>
            <w:tcBorders>
              <w:top w:val="single" w:sz="4" w:space="0" w:color="auto"/>
              <w:left w:val="single" w:sz="4" w:space="0" w:color="auto"/>
              <w:bottom w:val="single" w:sz="4" w:space="0" w:color="auto"/>
            </w:tcBorders>
            <w:shd w:val="clear" w:color="auto" w:fill="FFFFFF"/>
            <w:vAlign w:val="bottom"/>
          </w:tcPr>
          <w:p>
            <w:pPr>
              <w:pStyle w:val="a5"/>
              <w:spacing w:line="266" w:lineRule="auto"/>
              <w:ind w:firstLine="0"/>
              <w:rPr>
                <w:sz w:val="20"/>
                <w:szCs w:val="20"/>
              </w:rPr>
            </w:pPr>
            <w:r>
              <w:rPr>
                <w:sz w:val="20"/>
                <w:szCs w:val="20"/>
              </w:rPr>
              <w:t>Рассмотрение заявок на участие в аукционе (определение участников)</w:t>
            </w:r>
          </w:p>
          <w:p>
            <w:pPr>
              <w:pStyle w:val="a5"/>
              <w:spacing w:line="266" w:lineRule="auto"/>
              <w:ind w:firstLine="0"/>
              <w:rPr>
                <w:sz w:val="20"/>
                <w:szCs w:val="20"/>
              </w:rPr>
            </w:pPr>
          </w:p>
        </w:tc>
        <w:tc>
          <w:tcPr>
            <w:tcW w:w="5812" w:type="dxa"/>
            <w:tcBorders>
              <w:top w:val="single" w:sz="4" w:space="0" w:color="auto"/>
              <w:left w:val="single" w:sz="4" w:space="0" w:color="auto"/>
              <w:bottom w:val="single" w:sz="4" w:space="0" w:color="auto"/>
              <w:right w:val="single" w:sz="4" w:space="0" w:color="auto"/>
            </w:tcBorders>
            <w:shd w:val="clear" w:color="auto" w:fill="FFFFFF"/>
          </w:tcPr>
          <w:p>
            <w:pPr>
              <w:pStyle w:val="a5"/>
              <w:spacing w:line="240" w:lineRule="auto"/>
              <w:ind w:firstLine="0"/>
              <w:rPr>
                <w:b/>
                <w:sz w:val="24"/>
                <w:szCs w:val="24"/>
              </w:rPr>
            </w:pPr>
            <w:r>
              <w:rPr>
                <w:b/>
                <w:sz w:val="24"/>
                <w:szCs w:val="24"/>
              </w:rPr>
              <w:t xml:space="preserve">21 февраля 2024 года  </w:t>
            </w:r>
          </w:p>
        </w:tc>
      </w:tr>
      <w:tr>
        <w:trPr>
          <w:trHeight w:hRule="exact" w:val="1255"/>
        </w:trPr>
        <w:tc>
          <w:tcPr>
            <w:tcW w:w="3696" w:type="dxa"/>
            <w:tcBorders>
              <w:top w:val="single" w:sz="4" w:space="0" w:color="auto"/>
              <w:left w:val="single" w:sz="4" w:space="0" w:color="auto"/>
              <w:bottom w:val="single" w:sz="4" w:space="0" w:color="auto"/>
            </w:tcBorders>
            <w:shd w:val="clear" w:color="auto" w:fill="FFFFFF"/>
            <w:vAlign w:val="bottom"/>
          </w:tcPr>
          <w:p>
            <w:pPr>
              <w:pStyle w:val="a5"/>
              <w:spacing w:line="266" w:lineRule="auto"/>
              <w:ind w:firstLine="0"/>
              <w:rPr>
                <w:sz w:val="20"/>
                <w:szCs w:val="20"/>
              </w:rPr>
            </w:pPr>
            <w:r>
              <w:rPr>
                <w:sz w:val="20"/>
                <w:szCs w:val="20"/>
              </w:rPr>
              <w:t>По техническим вопросам участия в электронном аукционе (электронная подпись,</w:t>
            </w:r>
            <w:r>
              <w:rPr>
                <w:sz w:val="20"/>
                <w:szCs w:val="20"/>
              </w:rPr>
              <w:tab/>
              <w:t>функционирование</w:t>
            </w:r>
          </w:p>
          <w:p>
            <w:pPr>
              <w:pStyle w:val="a5"/>
              <w:spacing w:line="266" w:lineRule="auto"/>
              <w:ind w:firstLine="0"/>
              <w:rPr>
                <w:sz w:val="20"/>
                <w:szCs w:val="20"/>
              </w:rPr>
            </w:pPr>
            <w:r>
              <w:rPr>
                <w:sz w:val="20"/>
                <w:szCs w:val="20"/>
              </w:rPr>
              <w:t>электронной площадки и т.п.)</w:t>
            </w:r>
          </w:p>
          <w:p>
            <w:pPr>
              <w:pStyle w:val="a5"/>
              <w:spacing w:line="266" w:lineRule="auto"/>
              <w:ind w:firstLine="0"/>
              <w:rPr>
                <w:sz w:val="20"/>
                <w:szCs w:val="20"/>
              </w:rPr>
            </w:pPr>
          </w:p>
          <w:p>
            <w:pPr>
              <w:pStyle w:val="a5"/>
              <w:spacing w:line="266" w:lineRule="auto"/>
              <w:ind w:firstLine="0"/>
              <w:rPr>
                <w:sz w:val="20"/>
                <w:szCs w:val="20"/>
              </w:rPr>
            </w:pPr>
          </w:p>
        </w:tc>
        <w:tc>
          <w:tcPr>
            <w:tcW w:w="5812" w:type="dxa"/>
            <w:tcBorders>
              <w:top w:val="single" w:sz="4" w:space="0" w:color="auto"/>
              <w:left w:val="single" w:sz="4" w:space="0" w:color="auto"/>
              <w:bottom w:val="single" w:sz="4" w:space="0" w:color="auto"/>
              <w:right w:val="single" w:sz="4" w:space="0" w:color="auto"/>
            </w:tcBorders>
            <w:shd w:val="clear" w:color="auto" w:fill="FFFFFF"/>
          </w:tcPr>
          <w:p>
            <w:pPr>
              <w:pStyle w:val="a5"/>
              <w:spacing w:line="240" w:lineRule="auto"/>
              <w:ind w:firstLine="0"/>
              <w:rPr>
                <w:sz w:val="20"/>
                <w:szCs w:val="20"/>
              </w:rPr>
            </w:pPr>
            <w:r>
              <w:rPr>
                <w:sz w:val="20"/>
                <w:szCs w:val="20"/>
              </w:rPr>
              <w:t>АО «Сбербанк-АСТ»:</w:t>
            </w:r>
          </w:p>
          <w:p>
            <w:pPr>
              <w:pStyle w:val="a5"/>
              <w:spacing w:line="240" w:lineRule="auto"/>
              <w:ind w:firstLine="0"/>
              <w:rPr>
                <w:sz w:val="20"/>
                <w:szCs w:val="20"/>
              </w:rPr>
            </w:pPr>
            <w:r>
              <w:rPr>
                <w:sz w:val="20"/>
                <w:szCs w:val="20"/>
              </w:rPr>
              <w:t>8 (800) 302-29-99</w:t>
            </w:r>
          </w:p>
          <w:p>
            <w:pPr>
              <w:pStyle w:val="a5"/>
              <w:spacing w:line="240" w:lineRule="auto"/>
              <w:ind w:firstLine="0"/>
              <w:rPr>
                <w:sz w:val="20"/>
                <w:szCs w:val="20"/>
              </w:rPr>
            </w:pPr>
            <w:r>
              <w:rPr>
                <w:sz w:val="20"/>
                <w:szCs w:val="20"/>
              </w:rPr>
              <w:t xml:space="preserve">7 (495) 787-29-97/99 добавочный 65 014 </w:t>
            </w:r>
          </w:p>
          <w:p>
            <w:pPr>
              <w:pStyle w:val="a5"/>
              <w:spacing w:line="240" w:lineRule="auto"/>
              <w:ind w:firstLine="0"/>
              <w:rPr>
                <w:sz w:val="20"/>
                <w:szCs w:val="20"/>
              </w:rPr>
            </w:pPr>
            <w:r>
              <w:rPr>
                <w:sz w:val="20"/>
                <w:szCs w:val="20"/>
              </w:rPr>
              <w:t>property@sberbank-ast.ru</w:t>
            </w:r>
          </w:p>
          <w:p>
            <w:pPr>
              <w:pStyle w:val="a5"/>
              <w:spacing w:line="240" w:lineRule="auto"/>
              <w:ind w:firstLine="0"/>
              <w:rPr>
                <w:b/>
                <w:sz w:val="20"/>
                <w:szCs w:val="20"/>
              </w:rPr>
            </w:pPr>
          </w:p>
        </w:tc>
      </w:tr>
    </w:tbl>
    <w:p>
      <w:pPr>
        <w:spacing w:after="439" w:line="1" w:lineRule="exact"/>
        <w:rPr>
          <w:rFonts w:ascii="Times New Roman" w:hAnsi="Times New Roman" w:cs="Times New Roman"/>
          <w:sz w:val="20"/>
          <w:szCs w:val="20"/>
        </w:rPr>
      </w:pPr>
    </w:p>
    <w:p>
      <w:pPr>
        <w:spacing w:line="1" w:lineRule="exact"/>
        <w:rPr>
          <w:rFonts w:ascii="Times New Roman" w:hAnsi="Times New Roman" w:cs="Times New Roman"/>
          <w:sz w:val="20"/>
          <w:szCs w:val="20"/>
        </w:rPr>
      </w:pPr>
    </w:p>
    <w:p>
      <w:pPr>
        <w:pStyle w:val="1"/>
        <w:spacing w:after="140" w:line="276" w:lineRule="auto"/>
        <w:ind w:firstLine="340"/>
        <w:jc w:val="center"/>
        <w:rPr>
          <w:b/>
          <w:bCs/>
          <w:sz w:val="20"/>
          <w:szCs w:val="20"/>
        </w:rPr>
      </w:pPr>
      <w:r>
        <w:rPr>
          <w:b/>
          <w:bCs/>
          <w:sz w:val="20"/>
          <w:szCs w:val="20"/>
        </w:rPr>
        <w:t>3. ИНФОРМАЦИЯ О ЛОТЕ</w:t>
      </w:r>
    </w:p>
    <w:p>
      <w:pPr>
        <w:pStyle w:val="1"/>
        <w:spacing w:after="140" w:line="276" w:lineRule="auto"/>
        <w:ind w:firstLine="0"/>
        <w:jc w:val="both"/>
        <w:rPr>
          <w:color w:val="auto"/>
          <w:sz w:val="20"/>
          <w:szCs w:val="20"/>
        </w:rPr>
      </w:pPr>
      <w:r>
        <w:rPr>
          <w:b/>
          <w:bCs/>
          <w:sz w:val="20"/>
          <w:szCs w:val="20"/>
        </w:rPr>
        <w:t xml:space="preserve">3.1. Лот I. Основание проведения аукциона: </w:t>
      </w:r>
      <w:r>
        <w:rPr>
          <w:color w:val="auto"/>
          <w:sz w:val="20"/>
          <w:szCs w:val="20"/>
        </w:rPr>
        <w:t xml:space="preserve">постановление администрации   Вологодского   муниципального округа от 11.08.2023 № 3119-01 «О проведении аукционов в электронной форме по продаже земельных участков» </w:t>
      </w:r>
    </w:p>
    <w:p>
      <w:pPr>
        <w:pStyle w:val="ConsPlusNormal"/>
        <w:spacing w:after="220" w:line="283" w:lineRule="auto"/>
        <w:ind w:firstLine="680"/>
        <w:jc w:val="both"/>
        <w:rPr>
          <w:rFonts w:ascii="Times New Roman" w:hAnsi="Times New Roman" w:cs="Times New Roman"/>
        </w:rPr>
      </w:pPr>
      <w:r>
        <w:rPr>
          <w:rFonts w:ascii="Times New Roman" w:hAnsi="Times New Roman" w:cs="Times New Roman"/>
          <w:b/>
          <w:bCs/>
        </w:rPr>
        <w:lastRenderedPageBreak/>
        <w:t xml:space="preserve">Предмет аукциона: </w:t>
      </w:r>
      <w:r>
        <w:rPr>
          <w:rFonts w:ascii="Times New Roman" w:hAnsi="Times New Roman" w:cs="Times New Roman"/>
          <w:bCs/>
        </w:rPr>
        <w:t xml:space="preserve">земельный участок, </w:t>
      </w:r>
      <w:r>
        <w:rPr>
          <w:rFonts w:ascii="Times New Roman" w:hAnsi="Times New Roman" w:cs="Times New Roman"/>
          <w:color w:val="000000"/>
        </w:rPr>
        <w:t xml:space="preserve">государственная собственность на который не разграничена, с кадастровым номером </w:t>
      </w:r>
      <w:r>
        <w:rPr>
          <w:rFonts w:ascii="Times New Roman" w:hAnsi="Times New Roman" w:cs="Times New Roman"/>
          <w:bCs/>
          <w:color w:val="000000"/>
          <w:lang w:bidi="ru-RU"/>
        </w:rPr>
        <w:t>35:25:0201014:131</w:t>
      </w:r>
      <w:r>
        <w:rPr>
          <w:rFonts w:ascii="Times New Roman" w:hAnsi="Times New Roman" w:cs="Times New Roman"/>
          <w:color w:val="000000"/>
        </w:rPr>
        <w:t xml:space="preserve">, площадью 2097 </w:t>
      </w:r>
      <w:proofErr w:type="spellStart"/>
      <w:proofErr w:type="gramStart"/>
      <w:r>
        <w:rPr>
          <w:rFonts w:ascii="Times New Roman" w:hAnsi="Times New Roman" w:cs="Times New Roman"/>
          <w:color w:val="000000"/>
        </w:rPr>
        <w:t>кв.м</w:t>
      </w:r>
      <w:proofErr w:type="spellEnd"/>
      <w:proofErr w:type="gramEnd"/>
      <w:r>
        <w:rPr>
          <w:rFonts w:ascii="Times New Roman" w:hAnsi="Times New Roman" w:cs="Times New Roman"/>
          <w:color w:val="000000"/>
        </w:rPr>
        <w:t xml:space="preserve">, находящийся на землях населенных пунктов, местоположение которого установлено: </w:t>
      </w:r>
      <w:r>
        <w:rPr>
          <w:rFonts w:ascii="Times New Roman" w:hAnsi="Times New Roman" w:cs="Times New Roman"/>
          <w:color w:val="000000"/>
          <w:lang w:bidi="ru-RU"/>
        </w:rPr>
        <w:t xml:space="preserve">Российская Федерация, Вологодская область, район Вологодский, сельское поселение Новленское, деревня </w:t>
      </w:r>
      <w:proofErr w:type="spellStart"/>
      <w:r>
        <w:rPr>
          <w:rFonts w:ascii="Times New Roman" w:hAnsi="Times New Roman" w:cs="Times New Roman"/>
          <w:color w:val="000000"/>
          <w:lang w:bidi="ru-RU"/>
        </w:rPr>
        <w:t>Дьяконцево</w:t>
      </w:r>
      <w:proofErr w:type="spellEnd"/>
      <w:r>
        <w:rPr>
          <w:rFonts w:ascii="Times New Roman" w:hAnsi="Times New Roman" w:cs="Times New Roman"/>
          <w:color w:val="000000"/>
        </w:rPr>
        <w:t xml:space="preserve">, с разрешенным видом использования - </w:t>
      </w:r>
      <w:r>
        <w:rPr>
          <w:rFonts w:ascii="Times New Roman" w:hAnsi="Times New Roman" w:cs="Times New Roman"/>
          <w:color w:val="000000"/>
          <w:lang w:bidi="ru-RU"/>
        </w:rPr>
        <w:t>приусадебный участок личного подсобного хозяйства.</w:t>
      </w:r>
    </w:p>
    <w:tbl>
      <w:tblPr>
        <w:tblOverlap w:val="never"/>
        <w:tblW w:w="0" w:type="auto"/>
        <w:jc w:val="center"/>
        <w:tblLayout w:type="fixed"/>
        <w:tblCellMar>
          <w:left w:w="10" w:type="dxa"/>
          <w:right w:w="10" w:type="dxa"/>
        </w:tblCellMar>
        <w:tblLook w:val="0000" w:firstRow="0" w:lastRow="0" w:firstColumn="0" w:lastColumn="0" w:noHBand="0" w:noVBand="0"/>
      </w:tblPr>
      <w:tblGrid>
        <w:gridCol w:w="6278"/>
        <w:gridCol w:w="2034"/>
        <w:gridCol w:w="1124"/>
      </w:tblGrid>
      <w:tr>
        <w:trPr>
          <w:trHeight w:hRule="exact" w:val="365"/>
          <w:jc w:val="center"/>
        </w:trPr>
        <w:tc>
          <w:tcPr>
            <w:tcW w:w="6278"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Начальная цена предмета аукциона</w:t>
            </w:r>
          </w:p>
        </w:tc>
        <w:tc>
          <w:tcPr>
            <w:tcW w:w="2034"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135 172,62</w:t>
            </w:r>
          </w:p>
        </w:tc>
        <w:tc>
          <w:tcPr>
            <w:tcW w:w="1124" w:type="dxa"/>
            <w:tcBorders>
              <w:top w:val="single" w:sz="4" w:space="0" w:color="auto"/>
              <w:left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r>
        <w:trPr>
          <w:trHeight w:hRule="exact" w:val="286"/>
          <w:jc w:val="center"/>
        </w:trPr>
        <w:tc>
          <w:tcPr>
            <w:tcW w:w="6278"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Шаг аукциона:</w:t>
            </w:r>
          </w:p>
        </w:tc>
        <w:tc>
          <w:tcPr>
            <w:tcW w:w="2034"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 xml:space="preserve">4 </w:t>
            </w:r>
            <w:bookmarkStart w:id="0" w:name="_GoBack"/>
            <w:bookmarkEnd w:id="0"/>
            <w:r>
              <w:rPr>
                <w:b/>
                <w:bCs/>
                <w:sz w:val="20"/>
                <w:szCs w:val="20"/>
              </w:rPr>
              <w:t>055,17</w:t>
            </w:r>
          </w:p>
        </w:tc>
        <w:tc>
          <w:tcPr>
            <w:tcW w:w="1124" w:type="dxa"/>
            <w:tcBorders>
              <w:top w:val="single" w:sz="4" w:space="0" w:color="auto"/>
              <w:left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r>
        <w:trPr>
          <w:trHeight w:hRule="exact" w:val="409"/>
          <w:jc w:val="center"/>
        </w:trPr>
        <w:tc>
          <w:tcPr>
            <w:tcW w:w="6278" w:type="dxa"/>
            <w:tcBorders>
              <w:top w:val="single" w:sz="4" w:space="0" w:color="auto"/>
              <w:left w:val="single" w:sz="4" w:space="0" w:color="auto"/>
              <w:bottom w:val="single" w:sz="4" w:space="0" w:color="auto"/>
            </w:tcBorders>
            <w:shd w:val="clear" w:color="auto" w:fill="FFFFFF"/>
            <w:vAlign w:val="center"/>
          </w:tcPr>
          <w:p>
            <w:pPr>
              <w:pStyle w:val="a5"/>
              <w:spacing w:line="240" w:lineRule="auto"/>
              <w:ind w:firstLine="0"/>
              <w:rPr>
                <w:b/>
                <w:bCs/>
                <w:sz w:val="20"/>
                <w:szCs w:val="20"/>
              </w:rPr>
            </w:pPr>
            <w:r>
              <w:rPr>
                <w:b/>
                <w:bCs/>
                <w:sz w:val="20"/>
                <w:szCs w:val="20"/>
              </w:rPr>
              <w:t>Размер задатка:</w:t>
            </w:r>
          </w:p>
          <w:p>
            <w:pPr>
              <w:pStyle w:val="a5"/>
              <w:spacing w:line="240" w:lineRule="auto"/>
              <w:ind w:firstLine="0"/>
              <w:rPr>
                <w:sz w:val="20"/>
                <w:szCs w:val="20"/>
              </w:rPr>
            </w:pPr>
          </w:p>
        </w:tc>
        <w:tc>
          <w:tcPr>
            <w:tcW w:w="2034" w:type="dxa"/>
            <w:tcBorders>
              <w:top w:val="single" w:sz="4" w:space="0" w:color="auto"/>
              <w:left w:val="single" w:sz="4" w:space="0" w:color="auto"/>
              <w:bottom w:val="single" w:sz="4" w:space="0" w:color="auto"/>
            </w:tcBorders>
            <w:shd w:val="clear" w:color="auto" w:fill="FFFFFF"/>
            <w:vAlign w:val="center"/>
          </w:tcPr>
          <w:p>
            <w:pPr>
              <w:pStyle w:val="a5"/>
              <w:spacing w:line="240" w:lineRule="auto"/>
              <w:ind w:firstLine="0"/>
              <w:rPr>
                <w:sz w:val="20"/>
                <w:szCs w:val="20"/>
              </w:rPr>
            </w:pPr>
            <w:r>
              <w:rPr>
                <w:b/>
                <w:bCs/>
                <w:sz w:val="20"/>
                <w:szCs w:val="20"/>
              </w:rPr>
              <w:t>135 172,62</w:t>
            </w:r>
          </w:p>
        </w:tc>
        <w:tc>
          <w:tcPr>
            <w:tcW w:w="1124" w:type="dxa"/>
            <w:tcBorders>
              <w:top w:val="single" w:sz="4" w:space="0" w:color="auto"/>
              <w:left w:val="single" w:sz="4" w:space="0" w:color="auto"/>
              <w:bottom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bl>
    <w:p>
      <w:pPr>
        <w:spacing w:after="219" w:line="1" w:lineRule="exact"/>
        <w:rPr>
          <w:rFonts w:ascii="Times New Roman" w:hAnsi="Times New Roman" w:cs="Times New Roman"/>
          <w:sz w:val="20"/>
          <w:szCs w:val="20"/>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626"/>
        <w:gridCol w:w="8"/>
        <w:gridCol w:w="3182"/>
        <w:gridCol w:w="8"/>
        <w:gridCol w:w="6"/>
        <w:gridCol w:w="5686"/>
      </w:tblGrid>
      <w:tr>
        <w:trPr>
          <w:trHeight w:hRule="exact" w:val="295"/>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jc w:val="center"/>
              <w:rPr>
                <w:sz w:val="20"/>
                <w:szCs w:val="20"/>
              </w:rPr>
            </w:pPr>
            <w:r>
              <w:rPr>
                <w:sz w:val="20"/>
                <w:szCs w:val="20"/>
              </w:rPr>
              <w:t>Критерий</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jc w:val="center"/>
              <w:rPr>
                <w:sz w:val="20"/>
                <w:szCs w:val="20"/>
              </w:rPr>
            </w:pPr>
            <w:r>
              <w:rPr>
                <w:sz w:val="20"/>
                <w:szCs w:val="20"/>
              </w:rPr>
              <w:t>Информация о земельном участке (далее - Участок)</w:t>
            </w:r>
          </w:p>
        </w:tc>
      </w:tr>
      <w:tr>
        <w:trPr>
          <w:trHeight w:hRule="exact" w:val="757"/>
          <w:jc w:val="center"/>
        </w:trPr>
        <w:tc>
          <w:tcPr>
            <w:tcW w:w="634"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1</w:t>
            </w:r>
          </w:p>
        </w:tc>
        <w:tc>
          <w:tcPr>
            <w:tcW w:w="3190"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Адрес Участка</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bCs/>
                <w:sz w:val="20"/>
                <w:szCs w:val="20"/>
              </w:rPr>
            </w:pPr>
            <w:r>
              <w:rPr>
                <w:b/>
                <w:bCs/>
                <w:sz w:val="20"/>
                <w:szCs w:val="20"/>
              </w:rPr>
              <w:t xml:space="preserve">Российская Федерация, Вологодская область, район Вологодский, сельское поселение Новленское, деревня </w:t>
            </w:r>
            <w:proofErr w:type="spellStart"/>
            <w:r>
              <w:rPr>
                <w:b/>
                <w:bCs/>
                <w:sz w:val="20"/>
                <w:szCs w:val="20"/>
              </w:rPr>
              <w:t>Дьяконцево</w:t>
            </w:r>
            <w:proofErr w:type="spellEnd"/>
          </w:p>
          <w:p>
            <w:pPr>
              <w:pStyle w:val="a5"/>
              <w:spacing w:line="240" w:lineRule="auto"/>
              <w:ind w:firstLine="0"/>
              <w:rPr>
                <w:b/>
                <w:bCs/>
                <w:sz w:val="20"/>
                <w:szCs w:val="20"/>
              </w:rPr>
            </w:pPr>
          </w:p>
          <w:p>
            <w:pPr>
              <w:pStyle w:val="a5"/>
              <w:spacing w:line="240" w:lineRule="auto"/>
              <w:ind w:firstLine="0"/>
              <w:rPr>
                <w:b/>
                <w:sz w:val="20"/>
                <w:szCs w:val="20"/>
              </w:rPr>
            </w:pPr>
          </w:p>
        </w:tc>
      </w:tr>
      <w:tr>
        <w:trPr>
          <w:trHeight w:hRule="exact" w:val="288"/>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2</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Площадь участка (</w:t>
            </w:r>
            <w:proofErr w:type="spellStart"/>
            <w:r>
              <w:rPr>
                <w:sz w:val="20"/>
                <w:szCs w:val="20"/>
              </w:rPr>
              <w:t>кв.м</w:t>
            </w:r>
            <w:proofErr w:type="spellEnd"/>
            <w:r>
              <w:rPr>
                <w:sz w:val="20"/>
                <w:szCs w:val="20"/>
              </w:rPr>
              <w:t>)</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sz w:val="20"/>
                <w:szCs w:val="20"/>
              </w:rPr>
              <w:t>2097</w:t>
            </w:r>
          </w:p>
        </w:tc>
      </w:tr>
      <w:tr>
        <w:trPr>
          <w:trHeight w:hRule="exact" w:val="281"/>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3</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Кадастровый номер</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bCs/>
                <w:sz w:val="20"/>
                <w:szCs w:val="20"/>
              </w:rPr>
              <w:t>35:25:0201014:131</w:t>
            </w:r>
          </w:p>
        </w:tc>
      </w:tr>
      <w:tr>
        <w:trPr>
          <w:trHeight w:hRule="exact" w:val="451"/>
          <w:jc w:val="center"/>
        </w:trPr>
        <w:tc>
          <w:tcPr>
            <w:tcW w:w="634"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4</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Форма собственности на Участок</w:t>
            </w:r>
          </w:p>
          <w:p>
            <w:pPr>
              <w:pStyle w:val="a5"/>
              <w:spacing w:line="240" w:lineRule="auto"/>
              <w:ind w:firstLine="0"/>
              <w:rPr>
                <w:sz w:val="20"/>
                <w:szCs w:val="20"/>
              </w:rPr>
            </w:pPr>
          </w:p>
        </w:tc>
        <w:tc>
          <w:tcPr>
            <w:tcW w:w="5692" w:type="dxa"/>
            <w:gridSpan w:val="2"/>
            <w:tcBorders>
              <w:top w:val="single" w:sz="4" w:space="0" w:color="auto"/>
              <w:left w:val="single" w:sz="4" w:space="0" w:color="auto"/>
              <w:right w:val="single" w:sz="4" w:space="0" w:color="auto"/>
            </w:tcBorders>
            <w:shd w:val="clear" w:color="auto" w:fill="FFFFFF"/>
          </w:tcPr>
          <w:p>
            <w:pPr>
              <w:pStyle w:val="a5"/>
              <w:spacing w:line="240" w:lineRule="auto"/>
              <w:ind w:firstLine="0"/>
              <w:rPr>
                <w:b/>
                <w:sz w:val="20"/>
                <w:szCs w:val="20"/>
              </w:rPr>
            </w:pPr>
            <w:r>
              <w:rPr>
                <w:b/>
                <w:sz w:val="20"/>
                <w:szCs w:val="20"/>
              </w:rPr>
              <w:t>Государственная неразграниченная</w:t>
            </w:r>
          </w:p>
        </w:tc>
      </w:tr>
      <w:tr>
        <w:trPr>
          <w:trHeight w:hRule="exact" w:val="284"/>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5</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Категория земель</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sz w:val="20"/>
                <w:szCs w:val="20"/>
              </w:rPr>
              <w:t>земли населенных пунктов</w:t>
            </w:r>
          </w:p>
        </w:tc>
      </w:tr>
      <w:tr>
        <w:trPr>
          <w:trHeight w:hRule="exact" w:val="545"/>
          <w:jc w:val="center"/>
        </w:trPr>
        <w:tc>
          <w:tcPr>
            <w:tcW w:w="634"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6</w:t>
            </w:r>
          </w:p>
        </w:tc>
        <w:tc>
          <w:tcPr>
            <w:tcW w:w="3190" w:type="dxa"/>
            <w:gridSpan w:val="2"/>
            <w:tcBorders>
              <w:top w:val="single" w:sz="4" w:space="0" w:color="auto"/>
              <w:left w:val="single" w:sz="4" w:space="0" w:color="auto"/>
            </w:tcBorders>
            <w:shd w:val="clear" w:color="auto" w:fill="FFFFFF"/>
            <w:vAlign w:val="bottom"/>
          </w:tcPr>
          <w:p>
            <w:pPr>
              <w:pStyle w:val="a5"/>
              <w:ind w:firstLine="0"/>
              <w:rPr>
                <w:sz w:val="20"/>
                <w:szCs w:val="20"/>
              </w:rPr>
            </w:pPr>
            <w:r>
              <w:rPr>
                <w:sz w:val="20"/>
                <w:szCs w:val="20"/>
              </w:rPr>
              <w:t>Вид разрешенного использования</w:t>
            </w:r>
          </w:p>
          <w:p>
            <w:pPr>
              <w:pStyle w:val="a5"/>
              <w:ind w:firstLine="0"/>
              <w:rPr>
                <w:sz w:val="20"/>
                <w:szCs w:val="20"/>
              </w:rPr>
            </w:pPr>
          </w:p>
        </w:tc>
        <w:tc>
          <w:tcPr>
            <w:tcW w:w="5692" w:type="dxa"/>
            <w:gridSpan w:val="2"/>
            <w:tcBorders>
              <w:top w:val="single" w:sz="4" w:space="0" w:color="auto"/>
              <w:left w:val="single" w:sz="4" w:space="0" w:color="auto"/>
              <w:right w:val="single" w:sz="4" w:space="0" w:color="auto"/>
            </w:tcBorders>
            <w:shd w:val="clear" w:color="auto" w:fill="FFFFFF"/>
          </w:tcPr>
          <w:p>
            <w:pPr>
              <w:pStyle w:val="a5"/>
              <w:spacing w:line="240" w:lineRule="auto"/>
              <w:ind w:firstLine="0"/>
              <w:rPr>
                <w:b/>
                <w:sz w:val="20"/>
                <w:szCs w:val="20"/>
              </w:rPr>
            </w:pPr>
            <w:r>
              <w:rPr>
                <w:b/>
                <w:sz w:val="20"/>
                <w:szCs w:val="20"/>
              </w:rPr>
              <w:t>приусадебный участок личного подсобного хозяйства</w:t>
            </w:r>
          </w:p>
        </w:tc>
      </w:tr>
      <w:tr>
        <w:trPr>
          <w:trHeight w:hRule="exact" w:val="623"/>
          <w:jc w:val="center"/>
        </w:trPr>
        <w:tc>
          <w:tcPr>
            <w:tcW w:w="626" w:type="dxa"/>
            <w:tcBorders>
              <w:top w:val="single" w:sz="4" w:space="0" w:color="auto"/>
              <w:left w:val="single" w:sz="4" w:space="0" w:color="auto"/>
              <w:bottom w:val="single" w:sz="4" w:space="0" w:color="auto"/>
            </w:tcBorders>
            <w:shd w:val="clear" w:color="auto" w:fill="FFFFFF"/>
          </w:tcPr>
          <w:p>
            <w:pPr>
              <w:pStyle w:val="a5"/>
              <w:spacing w:line="240" w:lineRule="auto"/>
              <w:ind w:firstLine="0"/>
              <w:rPr>
                <w:sz w:val="20"/>
                <w:szCs w:val="20"/>
              </w:rPr>
            </w:pPr>
            <w:r>
              <w:rPr>
                <w:sz w:val="20"/>
                <w:szCs w:val="20"/>
              </w:rPr>
              <w:t>7</w:t>
            </w:r>
          </w:p>
        </w:tc>
        <w:tc>
          <w:tcPr>
            <w:tcW w:w="3204" w:type="dxa"/>
            <w:gridSpan w:val="4"/>
            <w:tcBorders>
              <w:top w:val="single" w:sz="4" w:space="0" w:color="auto"/>
              <w:left w:val="single" w:sz="4" w:space="0" w:color="auto"/>
              <w:bottom w:val="single" w:sz="4" w:space="0" w:color="auto"/>
            </w:tcBorders>
            <w:shd w:val="clear" w:color="auto" w:fill="FFFFFF"/>
          </w:tcPr>
          <w:p>
            <w:pPr>
              <w:pStyle w:val="a5"/>
              <w:spacing w:line="240" w:lineRule="auto"/>
              <w:ind w:firstLine="0"/>
              <w:rPr>
                <w:sz w:val="20"/>
                <w:szCs w:val="20"/>
              </w:rPr>
            </w:pPr>
            <w:r>
              <w:rPr>
                <w:sz w:val="20"/>
                <w:szCs w:val="20"/>
              </w:rPr>
              <w:t>Обременения (ограничения) прав на Участок</w:t>
            </w:r>
          </w:p>
        </w:tc>
        <w:tc>
          <w:tcPr>
            <w:tcW w:w="5686" w:type="dxa"/>
            <w:tcBorders>
              <w:top w:val="single" w:sz="4" w:space="0" w:color="auto"/>
              <w:left w:val="single" w:sz="4" w:space="0" w:color="auto"/>
              <w:bottom w:val="single" w:sz="4" w:space="0" w:color="auto"/>
              <w:right w:val="single" w:sz="4" w:space="0" w:color="auto"/>
            </w:tcBorders>
            <w:shd w:val="clear" w:color="auto" w:fill="FFFFFF"/>
            <w:vAlign w:val="bottom"/>
          </w:tcPr>
          <w:p>
            <w:pPr>
              <w:pStyle w:val="a5"/>
              <w:ind w:firstLine="0"/>
              <w:rPr>
                <w:bCs/>
                <w:sz w:val="20"/>
                <w:szCs w:val="20"/>
              </w:rPr>
            </w:pPr>
            <w:r>
              <w:rPr>
                <w:bCs/>
                <w:sz w:val="20"/>
                <w:szCs w:val="20"/>
              </w:rPr>
              <w:t xml:space="preserve">Отсутствуют </w:t>
            </w:r>
          </w:p>
          <w:p>
            <w:pPr>
              <w:pStyle w:val="a5"/>
              <w:tabs>
                <w:tab w:val="left" w:pos="238"/>
              </w:tabs>
              <w:rPr>
                <w:bCs/>
                <w:sz w:val="20"/>
                <w:szCs w:val="20"/>
              </w:rPr>
            </w:pPr>
          </w:p>
          <w:p>
            <w:pPr>
              <w:pStyle w:val="a5"/>
              <w:tabs>
                <w:tab w:val="left" w:pos="238"/>
              </w:tabs>
              <w:ind w:firstLine="0"/>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ind w:firstLine="0"/>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tc>
      </w:tr>
      <w:tr>
        <w:trPr>
          <w:trHeight w:hRule="exact" w:val="641"/>
          <w:jc w:val="center"/>
        </w:trPr>
        <w:tc>
          <w:tcPr>
            <w:tcW w:w="62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8</w:t>
            </w:r>
          </w:p>
        </w:tc>
        <w:tc>
          <w:tcPr>
            <w:tcW w:w="3190" w:type="dxa"/>
            <w:gridSpan w:val="2"/>
            <w:tcBorders>
              <w:top w:val="single" w:sz="4" w:space="0" w:color="auto"/>
              <w:left w:val="single" w:sz="4" w:space="0" w:color="auto"/>
            </w:tcBorders>
            <w:shd w:val="clear" w:color="auto" w:fill="FFFFFF"/>
          </w:tcPr>
          <w:p>
            <w:pPr>
              <w:pStyle w:val="a5"/>
              <w:spacing w:line="254" w:lineRule="auto"/>
              <w:ind w:firstLine="0"/>
              <w:rPr>
                <w:sz w:val="20"/>
                <w:szCs w:val="20"/>
              </w:rPr>
            </w:pPr>
            <w:r>
              <w:rPr>
                <w:sz w:val="20"/>
                <w:szCs w:val="20"/>
              </w:rPr>
              <w:t>Сведения о фактическом использовании и доступе на Участок</w:t>
            </w:r>
          </w:p>
        </w:tc>
        <w:tc>
          <w:tcPr>
            <w:tcW w:w="5700" w:type="dxa"/>
            <w:gridSpan w:val="3"/>
            <w:tcBorders>
              <w:top w:val="single" w:sz="4" w:space="0" w:color="auto"/>
              <w:left w:val="single" w:sz="4" w:space="0" w:color="auto"/>
              <w:right w:val="single" w:sz="4" w:space="0" w:color="auto"/>
            </w:tcBorders>
            <w:shd w:val="clear" w:color="auto" w:fill="FFFFFF"/>
            <w:vAlign w:val="bottom"/>
          </w:tcPr>
          <w:p>
            <w:pPr>
              <w:pStyle w:val="a5"/>
              <w:ind w:firstLine="0"/>
              <w:jc w:val="both"/>
              <w:rPr>
                <w:sz w:val="20"/>
                <w:szCs w:val="20"/>
              </w:rPr>
            </w:pPr>
            <w:r>
              <w:rPr>
                <w:sz w:val="20"/>
                <w:szCs w:val="20"/>
              </w:rPr>
              <w:t>Участок не огорожен, доступ не ограничен. Для осмотра присутствие представителя организатора аукциона не требуется.</w:t>
            </w:r>
          </w:p>
          <w:p>
            <w:pPr>
              <w:pStyle w:val="a5"/>
              <w:ind w:firstLine="0"/>
              <w:jc w:val="both"/>
              <w:rPr>
                <w:sz w:val="20"/>
                <w:szCs w:val="20"/>
              </w:rPr>
            </w:pPr>
          </w:p>
          <w:p>
            <w:pPr>
              <w:pStyle w:val="a5"/>
              <w:ind w:firstLine="0"/>
              <w:jc w:val="both"/>
              <w:rPr>
                <w:sz w:val="20"/>
                <w:szCs w:val="20"/>
              </w:rPr>
            </w:pPr>
          </w:p>
        </w:tc>
      </w:tr>
      <w:tr>
        <w:trPr>
          <w:trHeight w:hRule="exact" w:val="670"/>
          <w:jc w:val="center"/>
        </w:trPr>
        <w:tc>
          <w:tcPr>
            <w:tcW w:w="9516" w:type="dxa"/>
            <w:gridSpan w:val="6"/>
            <w:tcBorders>
              <w:top w:val="single" w:sz="4" w:space="0" w:color="auto"/>
              <w:left w:val="single" w:sz="4" w:space="0" w:color="auto"/>
              <w:bottom w:val="single" w:sz="4" w:space="0" w:color="auto"/>
              <w:right w:val="single" w:sz="4" w:space="0" w:color="auto"/>
            </w:tcBorders>
            <w:shd w:val="clear" w:color="auto" w:fill="FFFFFF"/>
            <w:vAlign w:val="bottom"/>
          </w:tcPr>
          <w:p>
            <w:pPr>
              <w:pStyle w:val="a5"/>
              <w:spacing w:line="257" w:lineRule="auto"/>
              <w:ind w:firstLine="0"/>
            </w:pPr>
            <w:r>
              <w:t>Положения документации об аукционе разъясняются участникам аукциона в период с даты начала приема заявок на участие в аукционе до даты проведения аукциона по тел.: 8(8172)72-90-49</w:t>
            </w:r>
          </w:p>
          <w:p>
            <w:pPr>
              <w:pStyle w:val="a5"/>
              <w:spacing w:line="257" w:lineRule="auto"/>
              <w:ind w:right="103" w:firstLine="0"/>
              <w:rPr>
                <w:sz w:val="20"/>
                <w:szCs w:val="20"/>
              </w:rPr>
            </w:pPr>
          </w:p>
        </w:tc>
      </w:tr>
    </w:tbl>
    <w:p>
      <w:pPr>
        <w:spacing w:line="1" w:lineRule="exact"/>
        <w:jc w:val="both"/>
        <w:rPr>
          <w:rFonts w:ascii="Times New Roman" w:hAnsi="Times New Roman" w:cs="Times New Roman"/>
          <w:sz w:val="20"/>
          <w:szCs w:val="20"/>
        </w:rPr>
      </w:pPr>
    </w:p>
    <w:p>
      <w:pPr>
        <w:pStyle w:val="1"/>
        <w:tabs>
          <w:tab w:val="left" w:pos="327"/>
        </w:tabs>
        <w:ind w:left="400" w:firstLine="0"/>
        <w:jc w:val="both"/>
        <w:rPr>
          <w:b/>
          <w:bCs/>
          <w:sz w:val="20"/>
          <w:szCs w:val="20"/>
        </w:rPr>
      </w:pPr>
      <w:bookmarkStart w:id="1" w:name="bookmark6"/>
      <w:bookmarkEnd w:id="1"/>
      <w:r>
        <w:rPr>
          <w:b/>
          <w:bCs/>
          <w:sz w:val="20"/>
          <w:szCs w:val="20"/>
        </w:rPr>
        <w:t xml:space="preserve">     </w:t>
      </w:r>
      <w:r>
        <w:rPr>
          <w:b/>
          <w:bCs/>
          <w:sz w:val="20"/>
          <w:szCs w:val="20"/>
        </w:rPr>
        <w:tab/>
        <w:t xml:space="preserve">Информация о предварительных технических условиях подключения (технологического присоединения) объекта к сетям инженерно-технического обеспечения и о плате за подключение (технологическое присоединение), параметры разрешенного строительства объекта капитального строительства: </w:t>
      </w:r>
    </w:p>
    <w:p>
      <w:pPr>
        <w:pStyle w:val="1"/>
        <w:tabs>
          <w:tab w:val="left" w:pos="327"/>
        </w:tabs>
        <w:ind w:left="400" w:firstLine="0"/>
        <w:jc w:val="both"/>
        <w:rPr>
          <w:bCs/>
          <w:sz w:val="20"/>
          <w:szCs w:val="20"/>
        </w:rPr>
      </w:pPr>
      <w:r>
        <w:rPr>
          <w:bCs/>
          <w:sz w:val="20"/>
          <w:szCs w:val="20"/>
        </w:rPr>
        <w:t xml:space="preserve">АО «Газпром газораспределение Вологда» от 20.07.2023 № ВЛ-08/54650, </w:t>
      </w:r>
    </w:p>
    <w:p>
      <w:pPr>
        <w:pStyle w:val="1"/>
        <w:tabs>
          <w:tab w:val="left" w:pos="327"/>
        </w:tabs>
        <w:ind w:left="400" w:firstLine="0"/>
        <w:jc w:val="both"/>
        <w:rPr>
          <w:bCs/>
          <w:sz w:val="20"/>
          <w:szCs w:val="20"/>
        </w:rPr>
      </w:pPr>
      <w:r>
        <w:rPr>
          <w:bCs/>
          <w:sz w:val="20"/>
          <w:szCs w:val="20"/>
        </w:rPr>
        <w:t xml:space="preserve">ПО «Вологодский электрические сети» от 17.01.2023 № МР2/2-2/15/151, </w:t>
      </w:r>
    </w:p>
    <w:p>
      <w:pPr>
        <w:pStyle w:val="1"/>
        <w:tabs>
          <w:tab w:val="left" w:pos="327"/>
        </w:tabs>
        <w:ind w:left="400" w:firstLine="0"/>
        <w:jc w:val="both"/>
        <w:rPr>
          <w:bCs/>
          <w:sz w:val="20"/>
          <w:szCs w:val="20"/>
        </w:rPr>
      </w:pPr>
      <w:r>
        <w:rPr>
          <w:bCs/>
          <w:sz w:val="20"/>
          <w:szCs w:val="20"/>
        </w:rPr>
        <w:t xml:space="preserve">ПАО «Ростелеком» от 16.01.2023 № 01/05/3484/23, </w:t>
      </w:r>
    </w:p>
    <w:p>
      <w:pPr>
        <w:pStyle w:val="1"/>
        <w:tabs>
          <w:tab w:val="left" w:pos="327"/>
        </w:tabs>
        <w:ind w:left="400" w:firstLine="0"/>
        <w:jc w:val="both"/>
        <w:rPr>
          <w:bCs/>
          <w:sz w:val="20"/>
          <w:szCs w:val="20"/>
        </w:rPr>
      </w:pPr>
      <w:r>
        <w:rPr>
          <w:bCs/>
          <w:sz w:val="20"/>
          <w:szCs w:val="20"/>
        </w:rPr>
        <w:t>ФГБУ «Управление «</w:t>
      </w:r>
      <w:proofErr w:type="spellStart"/>
      <w:r>
        <w:rPr>
          <w:bCs/>
          <w:sz w:val="20"/>
          <w:szCs w:val="20"/>
        </w:rPr>
        <w:t>Вологдамелиоводхоз</w:t>
      </w:r>
      <w:proofErr w:type="spellEnd"/>
      <w:r>
        <w:rPr>
          <w:bCs/>
          <w:sz w:val="20"/>
          <w:szCs w:val="20"/>
        </w:rPr>
        <w:t>» от 25.07.2023 № 6-3/523.</w:t>
      </w:r>
    </w:p>
    <w:p>
      <w:pPr>
        <w:pStyle w:val="1"/>
        <w:tabs>
          <w:tab w:val="left" w:pos="327"/>
        </w:tabs>
        <w:ind w:left="400" w:firstLine="0"/>
        <w:jc w:val="both"/>
        <w:rPr>
          <w:bCs/>
          <w:color w:val="auto"/>
          <w:sz w:val="20"/>
          <w:szCs w:val="20"/>
        </w:rPr>
      </w:pPr>
      <w:r>
        <w:rPr>
          <w:bCs/>
          <w:sz w:val="20"/>
          <w:szCs w:val="20"/>
        </w:rPr>
        <w:tab/>
      </w:r>
      <w:r>
        <w:rPr>
          <w:bCs/>
          <w:color w:val="auto"/>
          <w:sz w:val="20"/>
          <w:szCs w:val="20"/>
        </w:rPr>
        <w:t xml:space="preserve">В соответствии Правилами землепользования и застройки </w:t>
      </w:r>
      <w:r>
        <w:rPr>
          <w:b/>
          <w:bCs/>
          <w:color w:val="auto"/>
          <w:sz w:val="20"/>
          <w:szCs w:val="20"/>
        </w:rPr>
        <w:t>Новленского</w:t>
      </w:r>
      <w:r>
        <w:rPr>
          <w:bCs/>
          <w:color w:val="auto"/>
          <w:sz w:val="20"/>
          <w:szCs w:val="20"/>
        </w:rPr>
        <w:t xml:space="preserve"> сельского поселения, утвержденными постановлением Правительства области от 16 января 2023 года № 33:</w:t>
      </w:r>
    </w:p>
    <w:tbl>
      <w:tblPr>
        <w:tblW w:w="949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95"/>
        <w:gridCol w:w="3402"/>
      </w:tblGrid>
      <w:tr>
        <w:tc>
          <w:tcPr>
            <w:tcW w:w="6095" w:type="dxa"/>
            <w:tcBorders>
              <w:top w:val="single" w:sz="4" w:space="0" w:color="auto"/>
              <w:left w:val="single" w:sz="4" w:space="0" w:color="auto"/>
              <w:bottom w:val="single" w:sz="4" w:space="0" w:color="auto"/>
              <w:right w:val="single" w:sz="4" w:space="0" w:color="auto"/>
            </w:tcBorders>
            <w:hideMark/>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 xml:space="preserve">минимальный отступ от границы земельного участка </w:t>
            </w:r>
          </w:p>
        </w:tc>
        <w:tc>
          <w:tcPr>
            <w:tcW w:w="3402" w:type="dxa"/>
            <w:tcBorders>
              <w:top w:val="single" w:sz="4" w:space="0" w:color="auto"/>
              <w:left w:val="single" w:sz="4" w:space="0" w:color="auto"/>
              <w:bottom w:val="single" w:sz="4" w:space="0" w:color="auto"/>
              <w:right w:val="single" w:sz="4" w:space="0" w:color="auto"/>
            </w:tcBorders>
            <w:vAlign w:val="center"/>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3 м</w:t>
            </w:r>
          </w:p>
        </w:tc>
      </w:tr>
      <w:tr>
        <w:tc>
          <w:tcPr>
            <w:tcW w:w="6095" w:type="dxa"/>
            <w:tcBorders>
              <w:top w:val="single" w:sz="4" w:space="0" w:color="auto"/>
              <w:left w:val="single" w:sz="4" w:space="0" w:color="auto"/>
              <w:bottom w:val="single" w:sz="4" w:space="0" w:color="auto"/>
              <w:right w:val="single" w:sz="4" w:space="0" w:color="auto"/>
            </w:tcBorders>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минимальный отступ от красной линии до линии застройки:</w:t>
            </w:r>
          </w:p>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со стороны улицы</w:t>
            </w:r>
          </w:p>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со стороны проезда</w:t>
            </w:r>
          </w:p>
        </w:tc>
        <w:tc>
          <w:tcPr>
            <w:tcW w:w="3402" w:type="dxa"/>
            <w:tcBorders>
              <w:top w:val="single" w:sz="4" w:space="0" w:color="auto"/>
              <w:left w:val="single" w:sz="4" w:space="0" w:color="auto"/>
              <w:bottom w:val="single" w:sz="4" w:space="0" w:color="auto"/>
              <w:right w:val="single" w:sz="4" w:space="0" w:color="auto"/>
            </w:tcBorders>
            <w:vAlign w:val="center"/>
          </w:tcPr>
          <w:p>
            <w:pPr>
              <w:widowControl/>
              <w:jc w:val="both"/>
              <w:rPr>
                <w:rFonts w:ascii="Times New Roman" w:eastAsia="Times New Roman" w:hAnsi="Times New Roman" w:cs="Times New Roman"/>
                <w:color w:val="auto"/>
                <w:sz w:val="20"/>
                <w:szCs w:val="20"/>
                <w:lang w:bidi="ar-SA"/>
              </w:rPr>
            </w:pPr>
          </w:p>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5 м</w:t>
            </w:r>
          </w:p>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3 м</w:t>
            </w:r>
          </w:p>
        </w:tc>
      </w:tr>
      <w:tr>
        <w:tc>
          <w:tcPr>
            <w:tcW w:w="6095" w:type="dxa"/>
            <w:tcBorders>
              <w:top w:val="single" w:sz="4" w:space="0" w:color="auto"/>
              <w:left w:val="single" w:sz="4" w:space="0" w:color="auto"/>
              <w:bottom w:val="single" w:sz="4" w:space="0" w:color="auto"/>
              <w:right w:val="single" w:sz="4" w:space="0" w:color="auto"/>
            </w:tcBorders>
            <w:hideMark/>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предельное количество этажей (или предельная высота)</w:t>
            </w:r>
          </w:p>
        </w:tc>
        <w:tc>
          <w:tcPr>
            <w:tcW w:w="3402" w:type="dxa"/>
            <w:tcBorders>
              <w:top w:val="single" w:sz="4" w:space="0" w:color="auto"/>
              <w:left w:val="single" w:sz="4" w:space="0" w:color="auto"/>
              <w:bottom w:val="single" w:sz="4" w:space="0" w:color="auto"/>
              <w:right w:val="single" w:sz="4" w:space="0" w:color="auto"/>
            </w:tcBorders>
            <w:vAlign w:val="center"/>
            <w:hideMark/>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3 надземных этажа</w:t>
            </w:r>
          </w:p>
        </w:tc>
      </w:tr>
      <w:tr>
        <w:tc>
          <w:tcPr>
            <w:tcW w:w="6095" w:type="dxa"/>
            <w:tcBorders>
              <w:top w:val="single" w:sz="4" w:space="0" w:color="auto"/>
              <w:left w:val="single" w:sz="4" w:space="0" w:color="auto"/>
              <w:bottom w:val="single" w:sz="4" w:space="0" w:color="auto"/>
              <w:right w:val="single" w:sz="4" w:space="0" w:color="auto"/>
            </w:tcBorders>
            <w:hideMark/>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максимальный процент застройки в границах земельного участка</w:t>
            </w:r>
          </w:p>
        </w:tc>
        <w:tc>
          <w:tcPr>
            <w:tcW w:w="3402" w:type="dxa"/>
            <w:tcBorders>
              <w:top w:val="single" w:sz="4" w:space="0" w:color="auto"/>
              <w:left w:val="single" w:sz="4" w:space="0" w:color="auto"/>
              <w:bottom w:val="single" w:sz="4" w:space="0" w:color="auto"/>
              <w:right w:val="single" w:sz="4" w:space="0" w:color="auto"/>
            </w:tcBorders>
            <w:vAlign w:val="center"/>
            <w:hideMark/>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40 %</w:t>
            </w:r>
          </w:p>
        </w:tc>
      </w:tr>
    </w:tbl>
    <w:p>
      <w:pPr>
        <w:pStyle w:val="1"/>
        <w:tabs>
          <w:tab w:val="left" w:pos="327"/>
        </w:tabs>
        <w:ind w:firstLine="0"/>
        <w:jc w:val="both"/>
        <w:rPr>
          <w:b/>
          <w:bCs/>
          <w:sz w:val="20"/>
          <w:szCs w:val="20"/>
        </w:rPr>
      </w:pPr>
    </w:p>
    <w:p>
      <w:pPr>
        <w:pStyle w:val="1"/>
        <w:tabs>
          <w:tab w:val="left" w:pos="327"/>
        </w:tabs>
        <w:spacing w:after="260"/>
        <w:ind w:right="59" w:firstLine="0"/>
        <w:jc w:val="center"/>
        <w:rPr>
          <w:b/>
          <w:sz w:val="20"/>
          <w:szCs w:val="20"/>
        </w:rPr>
      </w:pPr>
      <w:r>
        <w:rPr>
          <w:b/>
          <w:bCs/>
          <w:sz w:val="20"/>
          <w:szCs w:val="20"/>
        </w:rPr>
        <w:t>4. ПОРЯДОК ПРОВЕДЕНИЯ ТОРГОВ</w:t>
      </w:r>
    </w:p>
    <w:p>
      <w:pPr>
        <w:pStyle w:val="11"/>
        <w:keepNext/>
        <w:keepLines/>
        <w:tabs>
          <w:tab w:val="left" w:pos="500"/>
        </w:tabs>
        <w:spacing w:line="254" w:lineRule="auto"/>
        <w:rPr>
          <w:sz w:val="20"/>
          <w:szCs w:val="20"/>
        </w:rPr>
      </w:pPr>
      <w:bookmarkStart w:id="2" w:name="bookmark9"/>
      <w:bookmarkStart w:id="3" w:name="bookmark10"/>
      <w:bookmarkStart w:id="4" w:name="bookmark7"/>
      <w:bookmarkStart w:id="5" w:name="bookmark8"/>
      <w:bookmarkEnd w:id="2"/>
      <w:r>
        <w:rPr>
          <w:sz w:val="20"/>
          <w:szCs w:val="20"/>
        </w:rPr>
        <w:t>4.1. Общие положения</w:t>
      </w:r>
      <w:bookmarkEnd w:id="3"/>
      <w:bookmarkEnd w:id="4"/>
      <w:bookmarkEnd w:id="5"/>
    </w:p>
    <w:p>
      <w:pPr>
        <w:pStyle w:val="1"/>
        <w:spacing w:line="254" w:lineRule="auto"/>
        <w:ind w:firstLine="680"/>
        <w:rPr>
          <w:sz w:val="20"/>
          <w:szCs w:val="20"/>
        </w:rPr>
      </w:pPr>
      <w:r>
        <w:rPr>
          <w:sz w:val="20"/>
          <w:szCs w:val="20"/>
        </w:rPr>
        <w:t>Аукцион проводится в соответствии с требованиями:</w:t>
      </w:r>
    </w:p>
    <w:p>
      <w:pPr>
        <w:pStyle w:val="1"/>
        <w:numPr>
          <w:ilvl w:val="0"/>
          <w:numId w:val="2"/>
        </w:numPr>
        <w:tabs>
          <w:tab w:val="left" w:pos="993"/>
        </w:tabs>
        <w:spacing w:line="254" w:lineRule="auto"/>
        <w:ind w:firstLine="760"/>
        <w:rPr>
          <w:sz w:val="20"/>
          <w:szCs w:val="20"/>
        </w:rPr>
      </w:pPr>
      <w:bookmarkStart w:id="6" w:name="bookmark11"/>
      <w:bookmarkEnd w:id="6"/>
      <w:r>
        <w:rPr>
          <w:sz w:val="20"/>
          <w:szCs w:val="20"/>
        </w:rPr>
        <w:t>Земельного кодекса Российской Федерации (статей 39.11, 39.12, 39.13, 39.18)</w:t>
      </w:r>
    </w:p>
    <w:p>
      <w:pPr>
        <w:pStyle w:val="1"/>
        <w:numPr>
          <w:ilvl w:val="0"/>
          <w:numId w:val="2"/>
        </w:numPr>
        <w:tabs>
          <w:tab w:val="left" w:pos="993"/>
        </w:tabs>
        <w:spacing w:line="254" w:lineRule="auto"/>
        <w:ind w:firstLine="760"/>
        <w:rPr>
          <w:sz w:val="20"/>
          <w:szCs w:val="20"/>
        </w:rPr>
      </w:pPr>
      <w:bookmarkStart w:id="7" w:name="bookmark12"/>
      <w:bookmarkEnd w:id="7"/>
      <w:r>
        <w:rPr>
          <w:sz w:val="20"/>
          <w:szCs w:val="20"/>
        </w:rPr>
        <w:t>Регламента Универсальной торговой платформы «Сбербанк АСТ» (далее — УТП)</w:t>
      </w:r>
    </w:p>
    <w:p>
      <w:pPr>
        <w:pStyle w:val="1"/>
        <w:numPr>
          <w:ilvl w:val="0"/>
          <w:numId w:val="2"/>
        </w:numPr>
        <w:tabs>
          <w:tab w:val="left" w:pos="982"/>
        </w:tabs>
        <w:spacing w:line="254" w:lineRule="auto"/>
        <w:ind w:firstLine="760"/>
        <w:jc w:val="both"/>
        <w:rPr>
          <w:sz w:val="20"/>
          <w:szCs w:val="20"/>
        </w:rPr>
      </w:pPr>
      <w:bookmarkStart w:id="8" w:name="bookmark13"/>
      <w:bookmarkEnd w:id="8"/>
      <w:r>
        <w:rPr>
          <w:sz w:val="20"/>
          <w:szCs w:val="20"/>
        </w:rPr>
        <w:t>Регламента торговой секции «Приватизация, аренда и продажа прав» универсальной торговой платформы АО «Сбербанк-АСТ» (далее ТС).</w:t>
      </w:r>
    </w:p>
    <w:p>
      <w:pPr>
        <w:pStyle w:val="1"/>
        <w:spacing w:line="254" w:lineRule="auto"/>
        <w:ind w:firstLine="680"/>
        <w:jc w:val="both"/>
        <w:rPr>
          <w:sz w:val="20"/>
          <w:szCs w:val="20"/>
        </w:rPr>
      </w:pPr>
      <w:r>
        <w:rPr>
          <w:sz w:val="20"/>
          <w:szCs w:val="20"/>
        </w:rPr>
        <w:t>В случае внесения изменения в извещение либо отмены аукциона (лота), Оператор направляет в личный кабинет Претендента, подавшего заявку на участие, соответствующее уведомление.</w:t>
      </w:r>
    </w:p>
    <w:p>
      <w:pPr>
        <w:pStyle w:val="1"/>
        <w:spacing w:after="260" w:line="254" w:lineRule="auto"/>
        <w:ind w:firstLine="680"/>
        <w:jc w:val="both"/>
        <w:rPr>
          <w:sz w:val="20"/>
          <w:szCs w:val="20"/>
        </w:rPr>
      </w:pPr>
      <w:r>
        <w:rPr>
          <w:sz w:val="20"/>
          <w:szCs w:val="20"/>
        </w:rPr>
        <w:t xml:space="preserve">В случае отмены аукциона (лота) Оператор в течение одного часа возвращает заявки на участие, </w:t>
      </w:r>
      <w:r>
        <w:rPr>
          <w:sz w:val="20"/>
          <w:szCs w:val="20"/>
        </w:rPr>
        <w:lastRenderedPageBreak/>
        <w:t>поданные Претендентами, и прекращает блокирование денежных средств на лицевых счетах таких Претендентов на площадке в размере задатка.</w:t>
      </w:r>
    </w:p>
    <w:p>
      <w:pPr>
        <w:pStyle w:val="11"/>
        <w:keepNext/>
        <w:keepLines/>
        <w:tabs>
          <w:tab w:val="left" w:pos="500"/>
        </w:tabs>
        <w:spacing w:line="254" w:lineRule="auto"/>
        <w:rPr>
          <w:sz w:val="20"/>
          <w:szCs w:val="20"/>
        </w:rPr>
      </w:pPr>
      <w:bookmarkStart w:id="9" w:name="bookmark16"/>
      <w:bookmarkStart w:id="10" w:name="bookmark14"/>
      <w:bookmarkStart w:id="11" w:name="bookmark15"/>
      <w:bookmarkStart w:id="12" w:name="bookmark17"/>
      <w:bookmarkEnd w:id="9"/>
      <w:r>
        <w:rPr>
          <w:sz w:val="20"/>
          <w:szCs w:val="20"/>
        </w:rPr>
        <w:t>4.2. Срок и порядок регистрации на электронной площадке</w:t>
      </w:r>
      <w:bookmarkEnd w:id="10"/>
      <w:bookmarkEnd w:id="11"/>
      <w:bookmarkEnd w:id="12"/>
    </w:p>
    <w:p>
      <w:pPr>
        <w:pStyle w:val="1"/>
        <w:spacing w:line="254" w:lineRule="auto"/>
        <w:ind w:firstLine="680"/>
        <w:jc w:val="both"/>
        <w:rPr>
          <w:sz w:val="20"/>
          <w:szCs w:val="20"/>
        </w:rPr>
      </w:pPr>
      <w:r>
        <w:rPr>
          <w:sz w:val="20"/>
          <w:szCs w:val="20"/>
        </w:rPr>
        <w:t>Для обеспечения доступа к участию в электронном аукционе Претендентам необходимо пройти процедуру регистрации на электронной площадке АО «Сбербанк-АСТ» в соответствии с Регламентом Универсальной торговой платформы «Сбербанк АСТ» и Регламентом торговой секции «Приватизация, аренда и продажа прав» универсальной торговой платформы АО «Сбербанк-АСТ», либо в ГИС Торги.</w:t>
      </w:r>
    </w:p>
    <w:p>
      <w:pPr>
        <w:pStyle w:val="1"/>
        <w:spacing w:line="254" w:lineRule="auto"/>
        <w:ind w:firstLine="680"/>
        <w:jc w:val="both"/>
        <w:rPr>
          <w:sz w:val="20"/>
          <w:szCs w:val="20"/>
        </w:rPr>
      </w:pPr>
      <w:r>
        <w:rPr>
          <w:sz w:val="20"/>
          <w:szCs w:val="20"/>
        </w:rPr>
        <w:t>Для прохождения процедуры регистрации участнику аукциона необходимо получить усиленную квалифицированную электронную подпись (далее - ЭП) в авторизованном удостоверяющем центре.</w:t>
      </w:r>
    </w:p>
    <w:p>
      <w:pPr>
        <w:pStyle w:val="1"/>
        <w:spacing w:line="254" w:lineRule="auto"/>
        <w:ind w:firstLine="680"/>
        <w:jc w:val="both"/>
        <w:rPr>
          <w:sz w:val="20"/>
          <w:szCs w:val="20"/>
        </w:rPr>
      </w:pPr>
      <w:r>
        <w:rPr>
          <w:sz w:val="20"/>
          <w:szCs w:val="20"/>
        </w:rPr>
        <w:t>Регламенты УТП и ТС, а также инструкции по работе с электронной площадкой размещены на сайте Оператора utp.sberbank-ast.ru.</w:t>
      </w:r>
    </w:p>
    <w:p>
      <w:pPr>
        <w:pStyle w:val="1"/>
        <w:spacing w:after="260" w:line="254" w:lineRule="auto"/>
        <w:ind w:firstLine="680"/>
        <w:rPr>
          <w:sz w:val="20"/>
          <w:szCs w:val="20"/>
        </w:rPr>
      </w:pPr>
      <w:r>
        <w:rPr>
          <w:sz w:val="20"/>
          <w:szCs w:val="20"/>
        </w:rPr>
        <w:t>Регистрация на электронной площадке осуществляется без взимания платы.</w:t>
      </w:r>
    </w:p>
    <w:p>
      <w:pPr>
        <w:pStyle w:val="11"/>
        <w:keepNext/>
        <w:keepLines/>
        <w:tabs>
          <w:tab w:val="left" w:pos="500"/>
        </w:tabs>
        <w:spacing w:line="254" w:lineRule="auto"/>
        <w:rPr>
          <w:sz w:val="20"/>
          <w:szCs w:val="20"/>
        </w:rPr>
      </w:pPr>
      <w:bookmarkStart w:id="13" w:name="bookmark20"/>
      <w:bookmarkStart w:id="14" w:name="bookmark18"/>
      <w:bookmarkStart w:id="15" w:name="bookmark19"/>
      <w:bookmarkStart w:id="16" w:name="bookmark21"/>
      <w:bookmarkEnd w:id="13"/>
      <w:r>
        <w:rPr>
          <w:sz w:val="20"/>
          <w:szCs w:val="20"/>
        </w:rPr>
        <w:t>4.3. Порядок подачи и отзыва заявок на участие в Аукционе</w:t>
      </w:r>
      <w:bookmarkEnd w:id="14"/>
      <w:bookmarkEnd w:id="15"/>
      <w:bookmarkEnd w:id="16"/>
    </w:p>
    <w:p>
      <w:pPr>
        <w:pStyle w:val="1"/>
        <w:spacing w:line="240" w:lineRule="auto"/>
        <w:ind w:firstLine="680"/>
        <w:jc w:val="both"/>
        <w:rPr>
          <w:b/>
          <w:sz w:val="20"/>
          <w:szCs w:val="20"/>
        </w:rPr>
      </w:pPr>
      <w:r>
        <w:rPr>
          <w:b/>
          <w:sz w:val="20"/>
          <w:szCs w:val="20"/>
        </w:rPr>
        <w:t>Участниками Аукциона могут являться только граждане (физические лица).</w:t>
      </w:r>
    </w:p>
    <w:p>
      <w:pPr>
        <w:pStyle w:val="1"/>
        <w:spacing w:line="240" w:lineRule="auto"/>
        <w:ind w:firstLine="680"/>
        <w:jc w:val="both"/>
        <w:rPr>
          <w:sz w:val="20"/>
          <w:szCs w:val="20"/>
        </w:rPr>
      </w:pPr>
      <w:r>
        <w:rPr>
          <w:sz w:val="20"/>
          <w:szCs w:val="20"/>
        </w:rPr>
        <w:t>Заявка на участие в электронном аукционе (и прилагаемые к ней документы) направляется Оператору электронной площадки в форме электронного документа.</w:t>
      </w:r>
    </w:p>
    <w:p>
      <w:pPr>
        <w:pStyle w:val="1"/>
        <w:spacing w:line="240" w:lineRule="auto"/>
        <w:ind w:firstLine="680"/>
        <w:jc w:val="both"/>
        <w:rPr>
          <w:sz w:val="20"/>
          <w:szCs w:val="20"/>
        </w:rPr>
      </w:pPr>
      <w:r>
        <w:rPr>
          <w:sz w:val="20"/>
          <w:szCs w:val="20"/>
        </w:rPr>
        <w:t>Прием Заявок на участие в электронном аукционе и прилагаемых к ним документов осуществляется в сроки, установленные в настоящем Информационном сообщении.</w:t>
      </w:r>
    </w:p>
    <w:p>
      <w:pPr>
        <w:pStyle w:val="1"/>
        <w:spacing w:line="240" w:lineRule="auto"/>
        <w:ind w:firstLine="680"/>
        <w:jc w:val="both"/>
        <w:rPr>
          <w:sz w:val="20"/>
          <w:szCs w:val="20"/>
        </w:rPr>
      </w:pPr>
      <w:r>
        <w:rPr>
          <w:sz w:val="20"/>
          <w:szCs w:val="20"/>
        </w:rPr>
        <w:t>Одно лицо имеет право подать только одну Заявку на участие в электронном аукционе.</w:t>
      </w:r>
    </w:p>
    <w:p>
      <w:pPr>
        <w:pStyle w:val="1"/>
        <w:spacing w:line="240" w:lineRule="auto"/>
        <w:ind w:firstLine="680"/>
        <w:jc w:val="both"/>
        <w:rPr>
          <w:sz w:val="20"/>
          <w:szCs w:val="20"/>
        </w:rPr>
      </w:pPr>
      <w:r>
        <w:rPr>
          <w:sz w:val="20"/>
          <w:szCs w:val="20"/>
        </w:rPr>
        <w:t>Для участия в Аукционе Претенденты перечисляют задаток в счет обеспечения оплаты приобретаемого Имущества на счет Оператора и заполняют размещенную в открытой части электронной площадки электронную форму Заявки с приложением электронных образов / документов в соответствии с перечнем, приведенным в настоящем Информационном сообщении.</w:t>
      </w:r>
    </w:p>
    <w:p>
      <w:pPr>
        <w:pStyle w:val="1"/>
        <w:spacing w:line="240" w:lineRule="auto"/>
        <w:ind w:firstLine="680"/>
        <w:jc w:val="both"/>
        <w:rPr>
          <w:sz w:val="20"/>
          <w:szCs w:val="20"/>
        </w:rPr>
      </w:pPr>
      <w:r>
        <w:rPr>
          <w:sz w:val="20"/>
          <w:szCs w:val="20"/>
        </w:rPr>
        <w:t>Заявка на участие в электронном аукционе и прилагаемые к ней документы подписываются ЭП заявителя.</w:t>
      </w:r>
    </w:p>
    <w:p>
      <w:pPr>
        <w:pStyle w:val="1"/>
        <w:spacing w:line="240" w:lineRule="auto"/>
        <w:ind w:firstLine="680"/>
        <w:jc w:val="both"/>
        <w:rPr>
          <w:sz w:val="20"/>
          <w:szCs w:val="20"/>
        </w:rPr>
      </w:pPr>
      <w:r>
        <w:rPr>
          <w:sz w:val="20"/>
          <w:szCs w:val="20"/>
        </w:rPr>
        <w:t>Обязанность доказать свое право на участие в Аукционе лежит на Претенденте.</w:t>
      </w:r>
    </w:p>
    <w:p>
      <w:pPr>
        <w:pStyle w:val="1"/>
        <w:spacing w:line="240" w:lineRule="auto"/>
        <w:ind w:firstLine="680"/>
        <w:jc w:val="both"/>
        <w:rPr>
          <w:sz w:val="20"/>
          <w:szCs w:val="20"/>
        </w:rPr>
      </w:pPr>
      <w:r>
        <w:rPr>
          <w:sz w:val="20"/>
          <w:szCs w:val="20"/>
        </w:rPr>
        <w:t>При приеме Заявок от Претендентов Оператор обеспечивает регистрацию Заявок в журнале приема Заявок. Каждой Заявке присваивается номер.</w:t>
      </w:r>
    </w:p>
    <w:p>
      <w:pPr>
        <w:pStyle w:val="1"/>
        <w:spacing w:line="240" w:lineRule="auto"/>
        <w:ind w:firstLine="680"/>
        <w:jc w:val="both"/>
        <w:rPr>
          <w:sz w:val="20"/>
          <w:szCs w:val="20"/>
        </w:rPr>
      </w:pPr>
      <w:r>
        <w:rPr>
          <w:sz w:val="20"/>
          <w:szCs w:val="20"/>
        </w:rPr>
        <w:t>В случае успешного принятия заявки Оператор направляет в Личный кабинет Претендента уведомление о регистрации заявки. В случае, если система не принимает заявку, Оператор уведомляет Претендента соответствующим системным сообщением о причине непринятия заявки.</w:t>
      </w:r>
    </w:p>
    <w:p>
      <w:pPr>
        <w:pStyle w:val="1"/>
        <w:spacing w:line="240" w:lineRule="auto"/>
        <w:ind w:firstLine="740"/>
        <w:jc w:val="both"/>
        <w:rPr>
          <w:sz w:val="20"/>
          <w:szCs w:val="20"/>
        </w:rPr>
      </w:pPr>
      <w:r>
        <w:rPr>
          <w:sz w:val="20"/>
          <w:szCs w:val="20"/>
        </w:rPr>
        <w:t>Заявки, поданные по истечении установленного срока подачи заявок, на электронной площадке не регистрируются.</w:t>
      </w:r>
    </w:p>
    <w:p>
      <w:pPr>
        <w:pStyle w:val="1"/>
        <w:spacing w:line="240" w:lineRule="auto"/>
        <w:ind w:firstLine="740"/>
        <w:jc w:val="both"/>
        <w:rPr>
          <w:sz w:val="20"/>
          <w:szCs w:val="20"/>
        </w:rPr>
      </w:pPr>
      <w:r>
        <w:rPr>
          <w:b/>
          <w:bCs/>
          <w:sz w:val="20"/>
          <w:szCs w:val="20"/>
        </w:rPr>
        <w:t>Заявитель не допускается к участию в аукционе в случаях:</w:t>
      </w:r>
    </w:p>
    <w:p>
      <w:pPr>
        <w:pStyle w:val="1"/>
        <w:numPr>
          <w:ilvl w:val="0"/>
          <w:numId w:val="2"/>
        </w:numPr>
        <w:tabs>
          <w:tab w:val="left" w:pos="946"/>
        </w:tabs>
        <w:spacing w:line="240" w:lineRule="auto"/>
        <w:ind w:firstLine="800"/>
        <w:jc w:val="both"/>
        <w:rPr>
          <w:sz w:val="20"/>
          <w:szCs w:val="20"/>
        </w:rPr>
      </w:pPr>
      <w:bookmarkStart w:id="17" w:name="bookmark22"/>
      <w:bookmarkEnd w:id="17"/>
      <w:r>
        <w:rPr>
          <w:sz w:val="20"/>
          <w:szCs w:val="20"/>
        </w:rPr>
        <w:t>непредставление необходимых для участия в аукционе документов или представление недостоверных сведений;</w:t>
      </w:r>
    </w:p>
    <w:p>
      <w:pPr>
        <w:pStyle w:val="1"/>
        <w:numPr>
          <w:ilvl w:val="0"/>
          <w:numId w:val="2"/>
        </w:numPr>
        <w:tabs>
          <w:tab w:val="left" w:pos="957"/>
        </w:tabs>
        <w:spacing w:line="240" w:lineRule="auto"/>
        <w:ind w:firstLine="800"/>
        <w:jc w:val="both"/>
        <w:rPr>
          <w:sz w:val="20"/>
          <w:szCs w:val="20"/>
        </w:rPr>
      </w:pPr>
      <w:bookmarkStart w:id="18" w:name="bookmark23"/>
      <w:bookmarkEnd w:id="18"/>
      <w:proofErr w:type="spellStart"/>
      <w:r>
        <w:rPr>
          <w:sz w:val="20"/>
          <w:szCs w:val="20"/>
        </w:rPr>
        <w:t>непоступление</w:t>
      </w:r>
      <w:proofErr w:type="spellEnd"/>
      <w:r>
        <w:rPr>
          <w:sz w:val="20"/>
          <w:szCs w:val="20"/>
        </w:rPr>
        <w:t xml:space="preserve"> задатка на платежные реквизиты, указанные в настоящем извещении, на дату рассмотрения заявок на участие в аукционе;</w:t>
      </w:r>
    </w:p>
    <w:p>
      <w:pPr>
        <w:pStyle w:val="1"/>
        <w:numPr>
          <w:ilvl w:val="0"/>
          <w:numId w:val="2"/>
        </w:numPr>
        <w:tabs>
          <w:tab w:val="left" w:pos="950"/>
        </w:tabs>
        <w:spacing w:line="240" w:lineRule="auto"/>
        <w:ind w:firstLine="800"/>
        <w:jc w:val="both"/>
        <w:rPr>
          <w:sz w:val="20"/>
          <w:szCs w:val="20"/>
        </w:rPr>
      </w:pPr>
      <w:bookmarkStart w:id="19" w:name="bookmark24"/>
      <w:bookmarkEnd w:id="19"/>
      <w:r>
        <w:rPr>
          <w:sz w:val="20"/>
          <w:szCs w:val="20"/>
        </w:rPr>
        <w:t>подача заявки на участие в аукционе лицом, которое в соответствии с Земельным кодексом Российской Федерации и другими федеральными законами не имеет права быть участником конкретного аукциона, покупателем земельного участка;</w:t>
      </w:r>
    </w:p>
    <w:p>
      <w:pPr>
        <w:pStyle w:val="1"/>
        <w:spacing w:line="240" w:lineRule="auto"/>
        <w:ind w:firstLine="720"/>
        <w:jc w:val="both"/>
        <w:rPr>
          <w:sz w:val="20"/>
          <w:szCs w:val="20"/>
        </w:rPr>
      </w:pPr>
      <w:r>
        <w:rPr>
          <w:sz w:val="20"/>
          <w:szCs w:val="20"/>
        </w:rPr>
        <w:t>наличие сведений о заявителе в реестре недобросовестных участников аукциона.</w:t>
      </w:r>
    </w:p>
    <w:p>
      <w:pPr>
        <w:pStyle w:val="1"/>
        <w:spacing w:line="240" w:lineRule="auto"/>
        <w:ind w:firstLine="720"/>
        <w:jc w:val="both"/>
        <w:rPr>
          <w:sz w:val="20"/>
          <w:szCs w:val="20"/>
        </w:rPr>
      </w:pPr>
      <w:r>
        <w:rPr>
          <w:sz w:val="20"/>
          <w:szCs w:val="20"/>
        </w:rPr>
        <w:t>Претендент вправе отозвать заявку до дня окончания срока приема заявок. Отзыв заявки осуществляется Претендентом из личного кабинета посредством штатного интерфейса торговой сессии. Оператор в течение одного часа прекращает блокирование задатка на лицевом счете Претендента.</w:t>
      </w:r>
    </w:p>
    <w:p>
      <w:pPr>
        <w:pStyle w:val="1"/>
        <w:spacing w:line="240" w:lineRule="auto"/>
        <w:ind w:firstLine="740"/>
        <w:jc w:val="both"/>
        <w:rPr>
          <w:sz w:val="20"/>
          <w:szCs w:val="20"/>
        </w:rPr>
      </w:pPr>
      <w:r>
        <w:rPr>
          <w:sz w:val="20"/>
          <w:szCs w:val="20"/>
        </w:rPr>
        <w:t>Изменение заявки допускается только путем подачи Претендентом новой заявки в установленные в информационном сообщении сроки о проведении аукциона, при этом первоначальная заявка должна быть отозвана.</w:t>
      </w:r>
    </w:p>
    <w:p>
      <w:pPr>
        <w:pStyle w:val="1"/>
        <w:spacing w:line="240" w:lineRule="auto"/>
        <w:ind w:firstLine="740"/>
        <w:jc w:val="both"/>
        <w:rPr>
          <w:sz w:val="20"/>
          <w:szCs w:val="20"/>
        </w:rPr>
      </w:pPr>
      <w:r>
        <w:rPr>
          <w:sz w:val="20"/>
          <w:szCs w:val="20"/>
        </w:rPr>
        <w:t>Заявка на участие в электронном аукционе направляется Оператору в форме электронного документа. Одновременно с Заявкой подаются прилагаемые к заявке документы. Заявка на участие в электронном аукционе, а также прилагаемые к ней документы подписываются усиленной квалифицированной электронной подписью заявителя.</w:t>
      </w:r>
    </w:p>
    <w:p>
      <w:pPr>
        <w:pStyle w:val="1"/>
        <w:spacing w:line="240" w:lineRule="auto"/>
        <w:ind w:firstLine="740"/>
        <w:jc w:val="both"/>
        <w:rPr>
          <w:sz w:val="20"/>
          <w:szCs w:val="20"/>
        </w:rPr>
      </w:pPr>
      <w:r>
        <w:rPr>
          <w:b/>
          <w:bCs/>
          <w:sz w:val="20"/>
          <w:szCs w:val="20"/>
        </w:rPr>
        <w:t>Документы, представляемые для участия в Аукционе:</w:t>
      </w:r>
    </w:p>
    <w:p>
      <w:pPr>
        <w:pStyle w:val="1"/>
        <w:numPr>
          <w:ilvl w:val="0"/>
          <w:numId w:val="2"/>
        </w:numPr>
        <w:tabs>
          <w:tab w:val="left" w:pos="950"/>
        </w:tabs>
        <w:spacing w:line="240" w:lineRule="auto"/>
        <w:ind w:firstLine="800"/>
        <w:jc w:val="both"/>
        <w:rPr>
          <w:sz w:val="20"/>
          <w:szCs w:val="20"/>
        </w:rPr>
      </w:pPr>
      <w:bookmarkStart w:id="20" w:name="bookmark25"/>
      <w:bookmarkEnd w:id="20"/>
      <w:r>
        <w:rPr>
          <w:sz w:val="20"/>
          <w:szCs w:val="20"/>
        </w:rPr>
        <w:t>заявка на участие в аукционе по установленной в извещении о проведении аукциона форме с указанием банковских реквизитов счета для возврата задатка;</w:t>
      </w:r>
    </w:p>
    <w:p>
      <w:pPr>
        <w:pStyle w:val="1"/>
        <w:numPr>
          <w:ilvl w:val="0"/>
          <w:numId w:val="2"/>
        </w:numPr>
        <w:tabs>
          <w:tab w:val="left" w:pos="950"/>
        </w:tabs>
        <w:spacing w:line="240" w:lineRule="auto"/>
        <w:ind w:firstLine="800"/>
        <w:jc w:val="both"/>
        <w:rPr>
          <w:sz w:val="20"/>
          <w:szCs w:val="20"/>
        </w:rPr>
      </w:pPr>
      <w:bookmarkStart w:id="21" w:name="bookmark26"/>
      <w:bookmarkEnd w:id="21"/>
      <w:r>
        <w:rPr>
          <w:sz w:val="20"/>
          <w:szCs w:val="20"/>
        </w:rPr>
        <w:t>документ, удостоверяющий личность заявителя (паспорт: страницы с данными о выдаче паспорта, ФИО, адресом текущей регистрации);</w:t>
      </w:r>
    </w:p>
    <w:p>
      <w:pPr>
        <w:pStyle w:val="1"/>
        <w:spacing w:line="240" w:lineRule="auto"/>
        <w:ind w:firstLine="740"/>
        <w:jc w:val="both"/>
        <w:rPr>
          <w:sz w:val="20"/>
          <w:szCs w:val="20"/>
        </w:rPr>
      </w:pPr>
      <w:r>
        <w:rPr>
          <w:sz w:val="20"/>
          <w:szCs w:val="20"/>
        </w:rPr>
        <w:t>Для представителей: в Заявке представитель Претендента указывает информацию о Претенденте и прикладывает файл документа, подтверждающего его полномочия (нотариальная доверенность и т.п.).</w:t>
      </w:r>
    </w:p>
    <w:p>
      <w:pPr>
        <w:pStyle w:val="1"/>
        <w:spacing w:line="240" w:lineRule="auto"/>
        <w:ind w:firstLine="740"/>
        <w:jc w:val="both"/>
        <w:rPr>
          <w:sz w:val="20"/>
          <w:szCs w:val="20"/>
        </w:rPr>
      </w:pPr>
      <w:r>
        <w:rPr>
          <w:sz w:val="20"/>
          <w:szCs w:val="20"/>
        </w:rPr>
        <w:lastRenderedPageBreak/>
        <w:t>Представленные иностранными Претендентами документы должны быть легализованы на территории Российской Федерации и иметь надлежащим образом, заверенный перевод на русский язык (</w:t>
      </w:r>
      <w:proofErr w:type="spellStart"/>
      <w:r>
        <w:rPr>
          <w:sz w:val="20"/>
          <w:szCs w:val="20"/>
        </w:rPr>
        <w:t>апостиль</w:t>
      </w:r>
      <w:proofErr w:type="spellEnd"/>
      <w:r>
        <w:rPr>
          <w:sz w:val="20"/>
          <w:szCs w:val="20"/>
        </w:rPr>
        <w:t xml:space="preserve">). </w:t>
      </w:r>
    </w:p>
    <w:p>
      <w:pPr>
        <w:pStyle w:val="1"/>
        <w:spacing w:line="240" w:lineRule="auto"/>
        <w:ind w:firstLine="740"/>
        <w:jc w:val="both"/>
        <w:rPr>
          <w:sz w:val="20"/>
          <w:szCs w:val="20"/>
        </w:rPr>
      </w:pPr>
      <w:r>
        <w:rPr>
          <w:sz w:val="20"/>
          <w:szCs w:val="20"/>
        </w:rPr>
        <w:t>Наличие электронной подписи означает, что документы и сведения, поданные в форме электронных документов, направлены от имени соответственно Претендента, Участника, Продавца либо Оператора и отправитель несет ответственность за подлинность и достоверность таких документов и сведений.</w:t>
      </w:r>
    </w:p>
    <w:p>
      <w:pPr>
        <w:pStyle w:val="1"/>
        <w:spacing w:after="260" w:line="240" w:lineRule="auto"/>
        <w:ind w:firstLine="740"/>
        <w:jc w:val="both"/>
        <w:rPr>
          <w:sz w:val="20"/>
          <w:szCs w:val="20"/>
        </w:rPr>
      </w:pPr>
      <w:r>
        <w:rPr>
          <w:sz w:val="20"/>
          <w:szCs w:val="20"/>
        </w:rPr>
        <w:t>Претендент, принимая решение об участии в торгах по продаже Имущества, сведения о котором опубликованы в настоящем Информационного сообщении, согласен с тем, что подача Заявки и перечисление задатка является подтверждением того, что с состоянием продаваемого Имущества и документацией к нему Претендент ознакомлен.</w:t>
      </w:r>
    </w:p>
    <w:p>
      <w:pPr>
        <w:pStyle w:val="11"/>
        <w:keepNext/>
        <w:keepLines/>
        <w:tabs>
          <w:tab w:val="left" w:pos="471"/>
        </w:tabs>
        <w:spacing w:line="240" w:lineRule="auto"/>
        <w:rPr>
          <w:sz w:val="20"/>
          <w:szCs w:val="20"/>
        </w:rPr>
      </w:pPr>
      <w:bookmarkStart w:id="22" w:name="bookmark29"/>
      <w:bookmarkStart w:id="23" w:name="bookmark27"/>
      <w:bookmarkStart w:id="24" w:name="bookmark28"/>
      <w:bookmarkStart w:id="25" w:name="bookmark30"/>
      <w:bookmarkEnd w:id="22"/>
      <w:r>
        <w:rPr>
          <w:sz w:val="20"/>
          <w:szCs w:val="20"/>
        </w:rPr>
        <w:t>4.4. Порядок внесения и возврата задатка</w:t>
      </w:r>
      <w:bookmarkEnd w:id="23"/>
      <w:bookmarkEnd w:id="24"/>
      <w:bookmarkEnd w:id="25"/>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Задаток служит обеспечением исполнения обязательства победителя аукциона по заключению и оплате договора купли-продажи земельного участка и возвращается </w:t>
      </w:r>
    </w:p>
    <w:p>
      <w:pPr>
        <w:widowControl/>
        <w:spacing w:after="13" w:line="268" w:lineRule="auto"/>
        <w:ind w:left="-15"/>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(Оператор прекращает блокирование задатка на лицевом счете Участника) всем участникам аукциона, кроме победителя, в течение трех рабочих дней после подписания ЭП Организатором процедуры протокола об итогах аукциона, если иное не предусмотрено настоящим извещением о проведении аукциона: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задаток, внесенный победителем аукциона/единственным принявшим участие в аукционе его участником/заявителем, признанным единственным участником аукциона, соответствующим всем требованиям и указанным в извещении о проведении аукциона условиям аукциона (далее – заявитель, признанный единственным участником аукциона)/заявителем, подавшим единственную заявку на участие в аукционе, соответствующую указанным требованиям (далее - заявитель, подавший единственную заявку), засчитывается в счет оплаты по договору купли-продажи земельного участка, задатки, внесенные этими лицами, не заключившими в установленном настоящим извещением о проведении аукциона порядке договоры купли-продажи земельного участка вследствие уклонения от заключения указанных договоров, не возвращаются.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В случае отзыва заявки заявителем позднее дня окончания срока приема заявок задаток возвращается в порядке, установленном для участников аукциона.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В случае отказа в допуске к участию в аукционе, в течение одного дня, следующего за днем размещения протокола об определении участников по лоту, Оператор прекращает блокирование в отношении денежных средств Претендентов, заблокированных в размере задатка.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В случае отмены аукциона, Оператор в течение одного часа прекращает блокирование задатка на лицевом счете Претендента.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Перечисление </w:t>
      </w:r>
      <w:r>
        <w:rPr>
          <w:rFonts w:ascii="Times New Roman" w:eastAsia="Times New Roman" w:hAnsi="Times New Roman" w:cs="Times New Roman"/>
          <w:sz w:val="20"/>
          <w:szCs w:val="20"/>
          <w:lang w:bidi="ar-SA"/>
        </w:rPr>
        <w:tab/>
        <w:t xml:space="preserve">задатка </w:t>
      </w:r>
      <w:r>
        <w:rPr>
          <w:rFonts w:ascii="Times New Roman" w:eastAsia="Times New Roman" w:hAnsi="Times New Roman" w:cs="Times New Roman"/>
          <w:sz w:val="20"/>
          <w:szCs w:val="20"/>
          <w:lang w:bidi="ar-SA"/>
        </w:rPr>
        <w:tab/>
        <w:t xml:space="preserve">осуществляется </w:t>
      </w:r>
      <w:r>
        <w:rPr>
          <w:rFonts w:ascii="Times New Roman" w:eastAsia="Times New Roman" w:hAnsi="Times New Roman" w:cs="Times New Roman"/>
          <w:sz w:val="20"/>
          <w:szCs w:val="20"/>
          <w:lang w:bidi="ar-SA"/>
        </w:rPr>
        <w:tab/>
        <w:t xml:space="preserve">Претендентом </w:t>
      </w:r>
      <w:r>
        <w:rPr>
          <w:rFonts w:ascii="Times New Roman" w:eastAsia="Times New Roman" w:hAnsi="Times New Roman" w:cs="Times New Roman"/>
          <w:sz w:val="20"/>
          <w:szCs w:val="20"/>
          <w:lang w:bidi="ar-SA"/>
        </w:rPr>
        <w:tab/>
        <w:t xml:space="preserve">на </w:t>
      </w:r>
      <w:r>
        <w:rPr>
          <w:rFonts w:ascii="Times New Roman" w:eastAsia="Times New Roman" w:hAnsi="Times New Roman" w:cs="Times New Roman"/>
          <w:sz w:val="20"/>
          <w:szCs w:val="20"/>
          <w:lang w:bidi="ar-SA"/>
        </w:rPr>
        <w:tab/>
        <w:t xml:space="preserve">реквизиты Оператора, указанные в разделе 2 настоящего Информационного сообщения.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Настоящее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Задаток, перечисленный лицом, заключившим договор купли-продажи, засчитывается в сумму платежа по договору купли-продажи.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Возврат </w:t>
      </w:r>
      <w:r>
        <w:rPr>
          <w:rFonts w:ascii="Times New Roman" w:eastAsia="Times New Roman" w:hAnsi="Times New Roman" w:cs="Times New Roman"/>
          <w:sz w:val="20"/>
          <w:szCs w:val="20"/>
          <w:lang w:bidi="ar-SA"/>
        </w:rPr>
        <w:tab/>
        <w:t xml:space="preserve">задатка </w:t>
      </w:r>
      <w:r>
        <w:rPr>
          <w:rFonts w:ascii="Times New Roman" w:eastAsia="Times New Roman" w:hAnsi="Times New Roman" w:cs="Times New Roman"/>
          <w:sz w:val="20"/>
          <w:szCs w:val="20"/>
          <w:lang w:bidi="ar-SA"/>
        </w:rPr>
        <w:tab/>
        <w:t xml:space="preserve">осуществляется </w:t>
      </w:r>
      <w:r>
        <w:rPr>
          <w:rFonts w:ascii="Times New Roman" w:eastAsia="Times New Roman" w:hAnsi="Times New Roman" w:cs="Times New Roman"/>
          <w:sz w:val="20"/>
          <w:szCs w:val="20"/>
          <w:lang w:bidi="ar-SA"/>
        </w:rPr>
        <w:tab/>
        <w:t xml:space="preserve">Оператором </w:t>
      </w:r>
      <w:r>
        <w:rPr>
          <w:rFonts w:ascii="Times New Roman" w:eastAsia="Times New Roman" w:hAnsi="Times New Roman" w:cs="Times New Roman"/>
          <w:sz w:val="20"/>
          <w:szCs w:val="20"/>
          <w:lang w:bidi="ar-SA"/>
        </w:rPr>
        <w:tab/>
        <w:t xml:space="preserve">путем </w:t>
      </w:r>
      <w:r>
        <w:rPr>
          <w:rFonts w:ascii="Times New Roman" w:eastAsia="Times New Roman" w:hAnsi="Times New Roman" w:cs="Times New Roman"/>
          <w:sz w:val="20"/>
          <w:szCs w:val="20"/>
          <w:lang w:bidi="ar-SA"/>
        </w:rPr>
        <w:tab/>
        <w:t xml:space="preserve">прекращения блокирования денежных средств на лицевом счете претендента. </w:t>
      </w:r>
    </w:p>
    <w:p>
      <w:pPr>
        <w:widowControl/>
        <w:spacing w:after="13" w:line="268" w:lineRule="auto"/>
        <w:ind w:left="-15" w:firstLine="698"/>
        <w:jc w:val="both"/>
        <w:rPr>
          <w:rFonts w:ascii="Times New Roman" w:eastAsia="Times New Roman" w:hAnsi="Times New Roman" w:cs="Times New Roman"/>
          <w:sz w:val="20"/>
          <w:szCs w:val="20"/>
          <w:lang w:bidi="ar-SA"/>
        </w:rPr>
      </w:pPr>
    </w:p>
    <w:p>
      <w:pPr>
        <w:pStyle w:val="11"/>
        <w:keepNext/>
        <w:keepLines/>
        <w:tabs>
          <w:tab w:val="left" w:pos="638"/>
        </w:tabs>
        <w:spacing w:line="240" w:lineRule="auto"/>
        <w:rPr>
          <w:sz w:val="20"/>
          <w:szCs w:val="20"/>
        </w:rPr>
      </w:pPr>
      <w:bookmarkStart w:id="26" w:name="bookmark33"/>
      <w:bookmarkStart w:id="27" w:name="bookmark31"/>
      <w:bookmarkStart w:id="28" w:name="bookmark32"/>
      <w:bookmarkStart w:id="29" w:name="bookmark34"/>
      <w:bookmarkEnd w:id="26"/>
      <w:r>
        <w:rPr>
          <w:sz w:val="20"/>
          <w:szCs w:val="20"/>
        </w:rPr>
        <w:t>4.5. Порядок ознакомления со сведениями об Имуществе, выставляемом на продажу</w:t>
      </w:r>
      <w:bookmarkEnd w:id="27"/>
      <w:bookmarkEnd w:id="28"/>
      <w:bookmarkEnd w:id="29"/>
    </w:p>
    <w:p>
      <w:pPr>
        <w:pStyle w:val="1"/>
        <w:spacing w:line="240" w:lineRule="auto"/>
        <w:ind w:firstLine="680"/>
        <w:jc w:val="both"/>
        <w:rPr>
          <w:sz w:val="20"/>
          <w:szCs w:val="20"/>
        </w:rPr>
      </w:pPr>
      <w:r>
        <w:rPr>
          <w:sz w:val="20"/>
          <w:szCs w:val="20"/>
        </w:rPr>
        <w:t xml:space="preserve">С информацией об участии в продаже, о порядке проведения продажи, с формой заявки, условиями договора купли-продажи, Претенденты могут ознакомиться на официальном сайте Администрации Вологодского муниципального округа Вологодской области в сети «Интернет» 35vologodskij.gosuslugi.ru, официальном сайте Российской Федерации в сети «Интернет» </w:t>
      </w:r>
      <w:hyperlink r:id="rId10" w:history="1">
        <w:r>
          <w:rPr>
            <w:rStyle w:val="aa"/>
            <w:sz w:val="20"/>
            <w:szCs w:val="20"/>
          </w:rPr>
          <w:t>www.torgi.gov.</w:t>
        </w:r>
        <w:r>
          <w:rPr>
            <w:rStyle w:val="aa"/>
            <w:sz w:val="20"/>
            <w:szCs w:val="20"/>
            <w:lang w:val="en-US"/>
          </w:rPr>
          <w:t>ru</w:t>
        </w:r>
      </w:hyperlink>
      <w:r>
        <w:rPr>
          <w:sz w:val="20"/>
          <w:szCs w:val="20"/>
        </w:rPr>
        <w:t xml:space="preserve">, на сайте в сети «Интернет» Оператора (электронная площадка) utp.sberbank-ast.ru и по телефону: 8(8172)75-90-49, а также по адресу электронной почты: </w:t>
      </w:r>
      <w:hyperlink r:id="rId11" w:history="1">
        <w:r>
          <w:rPr>
            <w:rStyle w:val="aa"/>
            <w:sz w:val="20"/>
            <w:szCs w:val="20"/>
          </w:rPr>
          <w:t>torgi@volraion.ru</w:t>
        </w:r>
      </w:hyperlink>
      <w:r>
        <w:rPr>
          <w:sz w:val="20"/>
          <w:szCs w:val="20"/>
        </w:rPr>
        <w:t xml:space="preserve">. </w:t>
      </w:r>
    </w:p>
    <w:p>
      <w:pPr>
        <w:pStyle w:val="1"/>
        <w:spacing w:after="260" w:line="240" w:lineRule="auto"/>
        <w:ind w:firstLine="680"/>
        <w:jc w:val="both"/>
        <w:rPr>
          <w:sz w:val="20"/>
          <w:szCs w:val="20"/>
        </w:rPr>
      </w:pPr>
      <w:r>
        <w:rPr>
          <w:sz w:val="20"/>
          <w:szCs w:val="20"/>
        </w:rPr>
        <w:t>На этапе приема заявок любое лицо, имеющее ЭП, вправе направить Организатору аукциона запрос о разъяснениях размещенной информации о процедуре торгов (далее — запрос) посредством функционала электронной площадки. Организатор аукциона посредством функционала электронной площадки направляет Оператору разъяснение с указанием предмета запроса, но без указания лица, от которого поступил запрос, для размещения в открытой части ТС.</w:t>
      </w:r>
    </w:p>
    <w:p>
      <w:pPr>
        <w:pStyle w:val="11"/>
        <w:keepNext/>
        <w:keepLines/>
        <w:tabs>
          <w:tab w:val="left" w:pos="471"/>
        </w:tabs>
        <w:spacing w:line="240" w:lineRule="auto"/>
        <w:rPr>
          <w:sz w:val="20"/>
          <w:szCs w:val="20"/>
        </w:rPr>
      </w:pPr>
      <w:bookmarkStart w:id="30" w:name="bookmark37"/>
      <w:bookmarkStart w:id="31" w:name="bookmark35"/>
      <w:bookmarkStart w:id="32" w:name="bookmark36"/>
      <w:bookmarkStart w:id="33" w:name="bookmark38"/>
      <w:bookmarkEnd w:id="30"/>
      <w:r>
        <w:rPr>
          <w:sz w:val="20"/>
          <w:szCs w:val="20"/>
        </w:rPr>
        <w:lastRenderedPageBreak/>
        <w:t>4.6. Определение участников Аукциона</w:t>
      </w:r>
      <w:bookmarkEnd w:id="31"/>
      <w:bookmarkEnd w:id="32"/>
      <w:bookmarkEnd w:id="33"/>
    </w:p>
    <w:p>
      <w:pPr>
        <w:pStyle w:val="1"/>
        <w:spacing w:line="240" w:lineRule="auto"/>
        <w:ind w:firstLine="680"/>
        <w:jc w:val="both"/>
        <w:rPr>
          <w:sz w:val="20"/>
          <w:szCs w:val="20"/>
        </w:rPr>
      </w:pPr>
      <w:r>
        <w:rPr>
          <w:sz w:val="20"/>
          <w:szCs w:val="20"/>
        </w:rPr>
        <w:t>После окончания срока приема заявок Оператор в Личном кабинете Организатора открывает доступ к зарегистрированным заявкам.</w:t>
      </w:r>
    </w:p>
    <w:p>
      <w:pPr>
        <w:pStyle w:val="1"/>
        <w:spacing w:line="240" w:lineRule="auto"/>
        <w:ind w:firstLine="680"/>
        <w:jc w:val="both"/>
        <w:rPr>
          <w:sz w:val="20"/>
          <w:szCs w:val="20"/>
        </w:rPr>
      </w:pPr>
      <w:r>
        <w:rPr>
          <w:sz w:val="20"/>
          <w:szCs w:val="20"/>
        </w:rPr>
        <w:t>Организатор не позднее чем в течение одного дня со дня рассмотрения Заявок подписывает протокол рассмотрения заявок, протокол размещается на электронной площадке не позднее чем на следующий день после дня подписания протокола. Оператор обеспечивает направление протокола рассмотрения заявок в ГИС Торги.</w:t>
      </w:r>
    </w:p>
    <w:p>
      <w:pPr>
        <w:pStyle w:val="1"/>
        <w:spacing w:line="240" w:lineRule="auto"/>
        <w:ind w:firstLine="680"/>
        <w:jc w:val="both"/>
        <w:rPr>
          <w:sz w:val="20"/>
          <w:szCs w:val="20"/>
        </w:rPr>
      </w:pPr>
      <w:r>
        <w:rPr>
          <w:sz w:val="20"/>
          <w:szCs w:val="20"/>
        </w:rPr>
        <w:t>Оператор не позднее следующего рабочего дня после дня подписания протокола об рассмотрения заявок направляет в Личные кабинеты Претендентов уведомления о признании их Участниками аукциона или об отказе в признании Участниками с указанием оснований отказа.</w:t>
      </w:r>
    </w:p>
    <w:p>
      <w:pPr>
        <w:pStyle w:val="1"/>
        <w:spacing w:after="260" w:line="240" w:lineRule="auto"/>
        <w:ind w:firstLine="740"/>
        <w:jc w:val="both"/>
        <w:rPr>
          <w:sz w:val="20"/>
          <w:szCs w:val="20"/>
        </w:rPr>
      </w:pPr>
      <w:r>
        <w:rPr>
          <w:sz w:val="20"/>
          <w:szCs w:val="20"/>
        </w:rPr>
        <w:t>Заявитель, признанный участником аукциона, становится участником аукциона с даты подписания Организатором аукциона протокола определения участников.</w:t>
      </w:r>
    </w:p>
    <w:p>
      <w:pPr>
        <w:pStyle w:val="11"/>
        <w:keepNext/>
        <w:keepLines/>
        <w:tabs>
          <w:tab w:val="left" w:pos="471"/>
        </w:tabs>
        <w:spacing w:line="240" w:lineRule="auto"/>
        <w:rPr>
          <w:sz w:val="20"/>
          <w:szCs w:val="20"/>
        </w:rPr>
      </w:pPr>
      <w:bookmarkStart w:id="34" w:name="bookmark41"/>
      <w:bookmarkStart w:id="35" w:name="bookmark39"/>
      <w:bookmarkStart w:id="36" w:name="bookmark40"/>
      <w:bookmarkStart w:id="37" w:name="bookmark42"/>
      <w:bookmarkEnd w:id="34"/>
      <w:r>
        <w:rPr>
          <w:sz w:val="20"/>
          <w:szCs w:val="20"/>
        </w:rPr>
        <w:t>4.7. Порядок проведения электронного аукциона.</w:t>
      </w:r>
      <w:bookmarkEnd w:id="35"/>
      <w:bookmarkEnd w:id="36"/>
      <w:bookmarkEnd w:id="37"/>
    </w:p>
    <w:p>
      <w:pPr>
        <w:pStyle w:val="1"/>
        <w:spacing w:line="240" w:lineRule="auto"/>
        <w:ind w:firstLine="740"/>
        <w:jc w:val="both"/>
        <w:rPr>
          <w:sz w:val="20"/>
          <w:szCs w:val="20"/>
        </w:rPr>
      </w:pPr>
      <w:r>
        <w:rPr>
          <w:sz w:val="20"/>
          <w:szCs w:val="20"/>
        </w:rPr>
        <w:t>Подача предложений о цене (торговая сессия) проводится в день и время, указанные в извещении.</w:t>
      </w:r>
    </w:p>
    <w:p>
      <w:pPr>
        <w:pStyle w:val="1"/>
        <w:spacing w:line="240" w:lineRule="auto"/>
        <w:ind w:firstLine="740"/>
        <w:jc w:val="both"/>
        <w:rPr>
          <w:sz w:val="20"/>
          <w:szCs w:val="20"/>
        </w:rPr>
      </w:pPr>
      <w:r>
        <w:rPr>
          <w:sz w:val="20"/>
          <w:szCs w:val="20"/>
        </w:rPr>
        <w:t>Аукцион проводится путем последовательного повышения Участниками начальной цены на величину, равную «шагу аукциона», указанную в настоящем извещении.</w:t>
      </w:r>
    </w:p>
    <w:p>
      <w:pPr>
        <w:pStyle w:val="1"/>
        <w:spacing w:line="240" w:lineRule="auto"/>
        <w:ind w:firstLine="740"/>
        <w:jc w:val="both"/>
        <w:rPr>
          <w:sz w:val="20"/>
          <w:szCs w:val="20"/>
        </w:rPr>
      </w:pPr>
      <w:r>
        <w:rPr>
          <w:sz w:val="20"/>
          <w:szCs w:val="20"/>
        </w:rPr>
        <w:t>Торговая сессия не проводится в случаях, если:</w:t>
      </w:r>
    </w:p>
    <w:p>
      <w:pPr>
        <w:pStyle w:val="1"/>
        <w:numPr>
          <w:ilvl w:val="0"/>
          <w:numId w:val="2"/>
        </w:numPr>
        <w:tabs>
          <w:tab w:val="left" w:pos="954"/>
        </w:tabs>
        <w:spacing w:line="240" w:lineRule="auto"/>
        <w:ind w:firstLine="800"/>
        <w:jc w:val="both"/>
        <w:rPr>
          <w:sz w:val="20"/>
          <w:szCs w:val="20"/>
        </w:rPr>
      </w:pPr>
      <w:bookmarkStart w:id="38" w:name="bookmark43"/>
      <w:bookmarkEnd w:id="38"/>
      <w:r>
        <w:rPr>
          <w:sz w:val="20"/>
          <w:szCs w:val="20"/>
        </w:rPr>
        <w:t xml:space="preserve">на участие в Аукционе не подано или не принято ни одной заявки, либо принята только одна заявка; </w:t>
      </w:r>
    </w:p>
    <w:p>
      <w:pPr>
        <w:pStyle w:val="1"/>
        <w:numPr>
          <w:ilvl w:val="0"/>
          <w:numId w:val="2"/>
        </w:numPr>
        <w:tabs>
          <w:tab w:val="left" w:pos="1005"/>
        </w:tabs>
        <w:spacing w:line="240" w:lineRule="auto"/>
        <w:ind w:firstLine="800"/>
        <w:jc w:val="both"/>
        <w:rPr>
          <w:sz w:val="20"/>
          <w:szCs w:val="20"/>
        </w:rPr>
      </w:pPr>
      <w:bookmarkStart w:id="39" w:name="bookmark44"/>
      <w:bookmarkEnd w:id="39"/>
      <w:r>
        <w:rPr>
          <w:sz w:val="20"/>
          <w:szCs w:val="20"/>
        </w:rPr>
        <w:t>в результате рассмотрения заявок на участие в Аукционе все заявки отклонены;</w:t>
      </w:r>
    </w:p>
    <w:p>
      <w:pPr>
        <w:pStyle w:val="1"/>
        <w:numPr>
          <w:ilvl w:val="0"/>
          <w:numId w:val="2"/>
        </w:numPr>
        <w:tabs>
          <w:tab w:val="left" w:pos="950"/>
        </w:tabs>
        <w:spacing w:line="240" w:lineRule="auto"/>
        <w:ind w:firstLine="800"/>
        <w:jc w:val="both"/>
        <w:rPr>
          <w:sz w:val="20"/>
          <w:szCs w:val="20"/>
        </w:rPr>
      </w:pPr>
      <w:bookmarkStart w:id="40" w:name="bookmark45"/>
      <w:bookmarkEnd w:id="40"/>
      <w:r>
        <w:rPr>
          <w:sz w:val="20"/>
          <w:szCs w:val="20"/>
        </w:rPr>
        <w:t>в результате рассмотрения заявок на участие в Аукционе участником признан только один Претендент;</w:t>
      </w:r>
    </w:p>
    <w:p>
      <w:pPr>
        <w:pStyle w:val="1"/>
        <w:numPr>
          <w:ilvl w:val="0"/>
          <w:numId w:val="2"/>
        </w:numPr>
        <w:tabs>
          <w:tab w:val="left" w:pos="1005"/>
        </w:tabs>
        <w:spacing w:line="240" w:lineRule="auto"/>
        <w:ind w:firstLine="800"/>
        <w:jc w:val="both"/>
        <w:rPr>
          <w:sz w:val="20"/>
          <w:szCs w:val="20"/>
        </w:rPr>
      </w:pPr>
      <w:bookmarkStart w:id="41" w:name="bookmark46"/>
      <w:bookmarkEnd w:id="41"/>
      <w:r>
        <w:rPr>
          <w:sz w:val="20"/>
          <w:szCs w:val="20"/>
        </w:rPr>
        <w:t>Аукцион отменен Организатором;</w:t>
      </w:r>
    </w:p>
    <w:p>
      <w:pPr>
        <w:pStyle w:val="1"/>
        <w:numPr>
          <w:ilvl w:val="0"/>
          <w:numId w:val="2"/>
        </w:numPr>
        <w:tabs>
          <w:tab w:val="left" w:pos="1005"/>
        </w:tabs>
        <w:spacing w:line="240" w:lineRule="auto"/>
        <w:ind w:firstLine="800"/>
        <w:jc w:val="both"/>
        <w:rPr>
          <w:sz w:val="20"/>
          <w:szCs w:val="20"/>
        </w:rPr>
      </w:pPr>
      <w:bookmarkStart w:id="42" w:name="bookmark47"/>
      <w:bookmarkEnd w:id="42"/>
      <w:r>
        <w:rPr>
          <w:sz w:val="20"/>
          <w:szCs w:val="20"/>
        </w:rPr>
        <w:t>этап подачи предложений о цене по Аукциону приостановлен.</w:t>
      </w:r>
    </w:p>
    <w:p>
      <w:pPr>
        <w:pStyle w:val="1"/>
        <w:spacing w:line="240" w:lineRule="auto"/>
        <w:ind w:firstLine="740"/>
        <w:jc w:val="both"/>
        <w:rPr>
          <w:sz w:val="20"/>
          <w:szCs w:val="20"/>
        </w:rPr>
      </w:pPr>
      <w:r>
        <w:rPr>
          <w:sz w:val="20"/>
          <w:szCs w:val="20"/>
        </w:rPr>
        <w:t>Оператор обеспечивает возможность ввода предложений о цене в Личном кабинете Участника. Предложением о цене признается подписанное электронной подписью Участника ценовое предложение.</w:t>
      </w:r>
    </w:p>
    <w:p>
      <w:pPr>
        <w:pStyle w:val="1"/>
        <w:spacing w:after="260" w:line="240" w:lineRule="auto"/>
        <w:ind w:firstLine="740"/>
        <w:jc w:val="both"/>
        <w:rPr>
          <w:sz w:val="20"/>
          <w:szCs w:val="20"/>
        </w:rPr>
      </w:pPr>
      <w:r>
        <w:rPr>
          <w:sz w:val="20"/>
          <w:szCs w:val="20"/>
        </w:rPr>
        <w:t>Время ожидания предложения Участника о цене предмета Аукциона составляет 10 (десять) минут. При поступлении предложения Участника о повышении цены предмета Аукциона время, оставшееся до истечения указанного срока, обновляется до десяти минут. Если в течение указанного времени ни одного предложения о более высокой цене предмета аукциона не поступило, Аукцион завершается.</w:t>
      </w:r>
    </w:p>
    <w:p>
      <w:pPr>
        <w:pStyle w:val="11"/>
        <w:keepNext/>
        <w:keepLines/>
        <w:tabs>
          <w:tab w:val="left" w:pos="471"/>
        </w:tabs>
        <w:spacing w:line="240" w:lineRule="auto"/>
        <w:rPr>
          <w:sz w:val="20"/>
          <w:szCs w:val="20"/>
        </w:rPr>
      </w:pPr>
      <w:bookmarkStart w:id="43" w:name="bookmark50"/>
      <w:bookmarkStart w:id="44" w:name="bookmark48"/>
      <w:bookmarkStart w:id="45" w:name="bookmark49"/>
      <w:bookmarkStart w:id="46" w:name="bookmark51"/>
      <w:bookmarkEnd w:id="43"/>
      <w:r>
        <w:rPr>
          <w:sz w:val="20"/>
          <w:szCs w:val="20"/>
        </w:rPr>
        <w:t>4.8. Подведение итогов торгов</w:t>
      </w:r>
      <w:bookmarkEnd w:id="44"/>
      <w:bookmarkEnd w:id="45"/>
      <w:bookmarkEnd w:id="46"/>
    </w:p>
    <w:p>
      <w:pPr>
        <w:pStyle w:val="1"/>
        <w:spacing w:line="240" w:lineRule="auto"/>
        <w:ind w:firstLine="740"/>
        <w:jc w:val="both"/>
        <w:rPr>
          <w:sz w:val="20"/>
          <w:szCs w:val="20"/>
        </w:rPr>
      </w:pPr>
      <w:r>
        <w:rPr>
          <w:sz w:val="20"/>
          <w:szCs w:val="20"/>
        </w:rPr>
        <w:t>Победителем Аукциона признается Участник, предложивший наиболее высокую цену имущества.</w:t>
      </w:r>
    </w:p>
    <w:p>
      <w:pPr>
        <w:pStyle w:val="1"/>
        <w:spacing w:line="240" w:lineRule="auto"/>
        <w:ind w:firstLine="740"/>
        <w:jc w:val="both"/>
        <w:rPr>
          <w:sz w:val="20"/>
          <w:szCs w:val="20"/>
        </w:rPr>
      </w:pPr>
      <w:r>
        <w:rPr>
          <w:sz w:val="20"/>
          <w:szCs w:val="20"/>
        </w:rPr>
        <w:t>Протокол проведения Аукциона формируется Оператором и размещается на электронной площадке в течение одного часа после окончания Аукциона.</w:t>
      </w:r>
    </w:p>
    <w:p>
      <w:pPr>
        <w:pStyle w:val="1"/>
        <w:spacing w:line="240" w:lineRule="auto"/>
        <w:ind w:firstLine="740"/>
        <w:jc w:val="both"/>
        <w:rPr>
          <w:sz w:val="20"/>
          <w:szCs w:val="20"/>
        </w:rPr>
      </w:pPr>
      <w:r>
        <w:rPr>
          <w:sz w:val="20"/>
          <w:szCs w:val="20"/>
        </w:rPr>
        <w:t>На основании указанного протокола Организатор в день проведения Аукциона обеспечивает подготовку и подписание протокола о результатах Аукциона и его размещение на электронной площадке в течение одного рабочего дня подписания данного протокола.</w:t>
      </w:r>
    </w:p>
    <w:p>
      <w:pPr>
        <w:pStyle w:val="1"/>
        <w:spacing w:line="240" w:lineRule="auto"/>
        <w:ind w:firstLine="740"/>
        <w:jc w:val="both"/>
        <w:rPr>
          <w:sz w:val="20"/>
          <w:szCs w:val="20"/>
        </w:rPr>
      </w:pPr>
      <w:r>
        <w:rPr>
          <w:sz w:val="20"/>
          <w:szCs w:val="20"/>
        </w:rPr>
        <w:t>Оператор в течение одного часа с момента размещения протокола о результатах направляет в Личный кабинет победителя Аукциона, и участника, занявшего второе место по итогам торгов или единственного участника уведомление с протоколом о результатах торгов.</w:t>
      </w:r>
    </w:p>
    <w:p>
      <w:pPr>
        <w:pStyle w:val="1"/>
        <w:spacing w:line="240" w:lineRule="auto"/>
        <w:ind w:firstLine="740"/>
        <w:jc w:val="both"/>
        <w:rPr>
          <w:sz w:val="20"/>
          <w:szCs w:val="20"/>
        </w:rPr>
      </w:pPr>
      <w:r>
        <w:rPr>
          <w:sz w:val="20"/>
          <w:szCs w:val="20"/>
        </w:rPr>
        <w:t>Протокол о результатах аукциона является основанием для заключения (подписания) с победителем Аукциона/единственным, принявшим участие в Аукционе его участником/участником Аукциона, который сделал предпоследнее предложение о цене предмета аукциона (в случае уклонения победителя Аукциона от подписания договора) договора купли-продажи.</w:t>
      </w:r>
    </w:p>
    <w:p>
      <w:pPr>
        <w:pStyle w:val="1"/>
        <w:spacing w:line="240" w:lineRule="auto"/>
        <w:ind w:firstLine="740"/>
        <w:jc w:val="both"/>
        <w:rPr>
          <w:sz w:val="20"/>
          <w:szCs w:val="20"/>
        </w:rPr>
      </w:pPr>
      <w:r>
        <w:rPr>
          <w:sz w:val="20"/>
          <w:szCs w:val="20"/>
        </w:rPr>
        <w:t>Протокол рассмотрения заявок на участие в Аукционе является основанием для заключения с единственным участником аукциона договора купли-продажи по начальной цене.</w:t>
      </w:r>
    </w:p>
    <w:p>
      <w:pPr>
        <w:pStyle w:val="1"/>
        <w:spacing w:line="240" w:lineRule="auto"/>
        <w:ind w:firstLine="740"/>
        <w:jc w:val="both"/>
        <w:rPr>
          <w:sz w:val="20"/>
          <w:szCs w:val="20"/>
        </w:rPr>
      </w:pPr>
      <w:r>
        <w:rPr>
          <w:sz w:val="20"/>
          <w:szCs w:val="20"/>
        </w:rPr>
        <w:t>Договор купли-продажи заключается в электронной форме (на электронной площадке) в соответствии с формой договора (приложение к настоящему информационному сообщению) и подписывается усиленной квалифицированной электронной подписью сторон такого договора.</w:t>
      </w:r>
    </w:p>
    <w:p>
      <w:pPr>
        <w:pStyle w:val="1"/>
        <w:spacing w:line="240" w:lineRule="auto"/>
        <w:ind w:firstLine="700"/>
        <w:jc w:val="both"/>
        <w:rPr>
          <w:sz w:val="20"/>
          <w:szCs w:val="20"/>
        </w:rPr>
      </w:pPr>
      <w:r>
        <w:rPr>
          <w:sz w:val="20"/>
          <w:szCs w:val="20"/>
        </w:rPr>
        <w:t xml:space="preserve">Заключение договора по результатам Аукциона не допускается ранее чем через десять дней со дня размещения протокола рассмотрения заявок в случае, если Аукцион признан несостоявшимся, либо протокола о результатах Аукциона на официальном сайте Российской Федерации для размещения информации о проведении торгов в сети «Интернет» </w:t>
      </w:r>
      <w:hyperlink r:id="rId12" w:history="1">
        <w:r>
          <w:rPr>
            <w:sz w:val="20"/>
            <w:szCs w:val="20"/>
          </w:rPr>
          <w:t>www.torgi.gov.ru/new</w:t>
        </w:r>
      </w:hyperlink>
      <w:r>
        <w:rPr>
          <w:sz w:val="20"/>
          <w:szCs w:val="20"/>
        </w:rPr>
        <w:t>.</w:t>
      </w:r>
    </w:p>
    <w:p>
      <w:pPr>
        <w:pStyle w:val="1"/>
        <w:spacing w:line="240" w:lineRule="auto"/>
        <w:ind w:firstLine="700"/>
        <w:jc w:val="both"/>
        <w:rPr>
          <w:sz w:val="20"/>
          <w:szCs w:val="20"/>
        </w:rPr>
      </w:pPr>
      <w:r>
        <w:rPr>
          <w:sz w:val="20"/>
          <w:szCs w:val="20"/>
        </w:rPr>
        <w:t xml:space="preserve">Организатор Аукциона в течение 5 (пяти) дней после истечения десятидневного срока со дня размещения протокола определения участников/протокола рассмотрения заявок на официальном сайте направляет победителю Аукциона/единственному, принявшим участие в Аукционе его участнику/ единственному участнику аукциона, подписанный проект договора купли-продажи.    </w:t>
      </w:r>
    </w:p>
    <w:p>
      <w:pPr>
        <w:pStyle w:val="1"/>
        <w:spacing w:line="240" w:lineRule="auto"/>
        <w:ind w:firstLine="700"/>
        <w:jc w:val="both"/>
        <w:rPr>
          <w:sz w:val="20"/>
          <w:szCs w:val="20"/>
        </w:rPr>
      </w:pPr>
      <w:r>
        <w:rPr>
          <w:sz w:val="20"/>
          <w:szCs w:val="20"/>
        </w:rPr>
        <w:t>Задаток засчитывается в счет оплаты приобретаемого имущества.</w:t>
      </w:r>
    </w:p>
    <w:p>
      <w:pPr>
        <w:pStyle w:val="1"/>
        <w:spacing w:line="240" w:lineRule="auto"/>
        <w:ind w:firstLine="700"/>
        <w:jc w:val="both"/>
        <w:rPr>
          <w:sz w:val="20"/>
          <w:szCs w:val="20"/>
        </w:rPr>
      </w:pPr>
      <w:r>
        <w:rPr>
          <w:sz w:val="20"/>
          <w:szCs w:val="20"/>
        </w:rPr>
        <w:t>Покупатель перечисляет подлежащую оплате оставшуюся часть цены продаже земельного участка единовременно, в течение 10 (десяти) рабочих дней с даты подписания договора купли-продажи.</w:t>
      </w:r>
    </w:p>
    <w:p>
      <w:pPr>
        <w:pStyle w:val="1"/>
        <w:spacing w:line="240" w:lineRule="auto"/>
        <w:ind w:firstLine="700"/>
        <w:jc w:val="both"/>
        <w:rPr>
          <w:sz w:val="20"/>
          <w:szCs w:val="20"/>
        </w:rPr>
      </w:pPr>
      <w:r>
        <w:rPr>
          <w:sz w:val="20"/>
          <w:szCs w:val="20"/>
        </w:rPr>
        <w:lastRenderedPageBreak/>
        <w:t>Если договор купли-продажи земельного участка в течение 30 (тридцати) дней со дня направления победителю аукциона не был им подписан, Организатор аукциона в течение 3 (трех) рабочих дней предлагает заключить указанный договор участнику аукциона, который сделал предпоследнее предложение о цене предмета аукциона, по цене, предложенной победителем аукциона.</w:t>
      </w:r>
    </w:p>
    <w:p>
      <w:pPr>
        <w:pStyle w:val="1"/>
        <w:spacing w:line="240" w:lineRule="auto"/>
        <w:ind w:firstLine="700"/>
        <w:jc w:val="both"/>
        <w:rPr>
          <w:sz w:val="20"/>
          <w:szCs w:val="20"/>
        </w:rPr>
      </w:pPr>
      <w:r>
        <w:rPr>
          <w:sz w:val="20"/>
          <w:szCs w:val="20"/>
        </w:rPr>
        <w:t>Расходы по государственной регистрации перехода права собственности возлагаются на покупателя.</w:t>
      </w:r>
    </w:p>
    <w:p>
      <w:pPr>
        <w:pStyle w:val="1"/>
        <w:spacing w:line="240" w:lineRule="auto"/>
        <w:ind w:firstLine="700"/>
        <w:jc w:val="both"/>
        <w:rPr>
          <w:sz w:val="20"/>
          <w:szCs w:val="20"/>
        </w:rPr>
      </w:pPr>
      <w:r>
        <w:rPr>
          <w:sz w:val="20"/>
          <w:szCs w:val="20"/>
        </w:rPr>
        <w:t>Аукцион признается несостоявшимся в следующих случаях:</w:t>
      </w:r>
    </w:p>
    <w:p>
      <w:pPr>
        <w:pStyle w:val="1"/>
        <w:numPr>
          <w:ilvl w:val="0"/>
          <w:numId w:val="2"/>
        </w:numPr>
        <w:tabs>
          <w:tab w:val="left" w:pos="946"/>
        </w:tabs>
        <w:spacing w:line="240" w:lineRule="auto"/>
        <w:ind w:firstLine="760"/>
        <w:jc w:val="both"/>
        <w:rPr>
          <w:sz w:val="20"/>
          <w:szCs w:val="20"/>
        </w:rPr>
      </w:pPr>
      <w:bookmarkStart w:id="47" w:name="bookmark52"/>
      <w:bookmarkEnd w:id="47"/>
      <w:r>
        <w:rPr>
          <w:sz w:val="20"/>
          <w:szCs w:val="20"/>
        </w:rPr>
        <w:t>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w:t>
      </w:r>
    </w:p>
    <w:p>
      <w:pPr>
        <w:pStyle w:val="1"/>
        <w:numPr>
          <w:ilvl w:val="0"/>
          <w:numId w:val="2"/>
        </w:numPr>
        <w:tabs>
          <w:tab w:val="left" w:pos="954"/>
        </w:tabs>
        <w:spacing w:line="240" w:lineRule="auto"/>
        <w:ind w:firstLine="760"/>
        <w:jc w:val="both"/>
        <w:rPr>
          <w:sz w:val="20"/>
          <w:szCs w:val="20"/>
        </w:rPr>
      </w:pPr>
      <w:bookmarkStart w:id="48" w:name="bookmark53"/>
      <w:bookmarkEnd w:id="48"/>
      <w:r>
        <w:rPr>
          <w:sz w:val="20"/>
          <w:szCs w:val="20"/>
        </w:rPr>
        <w:t>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w:t>
      </w:r>
    </w:p>
    <w:p>
      <w:pPr>
        <w:pStyle w:val="1"/>
        <w:numPr>
          <w:ilvl w:val="0"/>
          <w:numId w:val="2"/>
        </w:numPr>
        <w:tabs>
          <w:tab w:val="left" w:pos="954"/>
        </w:tabs>
        <w:spacing w:after="260" w:line="240" w:lineRule="auto"/>
        <w:ind w:firstLine="760"/>
        <w:jc w:val="both"/>
        <w:rPr>
          <w:sz w:val="20"/>
          <w:szCs w:val="20"/>
        </w:rPr>
      </w:pPr>
      <w:bookmarkStart w:id="49" w:name="bookmark54"/>
      <w:bookmarkEnd w:id="49"/>
      <w:r>
        <w:rPr>
          <w:sz w:val="20"/>
          <w:szCs w:val="20"/>
        </w:rPr>
        <w:t>в случае если в аукционе участвовал только один участник или в аукционе не принял участие ни один из участников аукциона.</w:t>
      </w:r>
    </w:p>
    <w:p>
      <w:pPr>
        <w:pStyle w:val="11"/>
        <w:keepNext/>
        <w:keepLines/>
        <w:tabs>
          <w:tab w:val="left" w:pos="291"/>
        </w:tabs>
        <w:spacing w:line="240" w:lineRule="auto"/>
        <w:rPr>
          <w:sz w:val="20"/>
          <w:szCs w:val="20"/>
        </w:rPr>
      </w:pPr>
      <w:bookmarkStart w:id="50" w:name="bookmark57"/>
      <w:bookmarkStart w:id="51" w:name="bookmark55"/>
      <w:bookmarkStart w:id="52" w:name="bookmark56"/>
      <w:bookmarkStart w:id="53" w:name="bookmark58"/>
      <w:bookmarkEnd w:id="50"/>
      <w:r>
        <w:rPr>
          <w:sz w:val="20"/>
          <w:szCs w:val="20"/>
        </w:rPr>
        <w:t>5. Отказ в проведении Аукциона</w:t>
      </w:r>
      <w:bookmarkEnd w:id="51"/>
      <w:bookmarkEnd w:id="52"/>
      <w:bookmarkEnd w:id="53"/>
    </w:p>
    <w:p>
      <w:pPr>
        <w:pStyle w:val="1"/>
        <w:tabs>
          <w:tab w:val="left" w:pos="1162"/>
        </w:tabs>
        <w:spacing w:line="240" w:lineRule="auto"/>
        <w:ind w:firstLine="0"/>
        <w:jc w:val="both"/>
        <w:rPr>
          <w:sz w:val="20"/>
          <w:szCs w:val="20"/>
        </w:rPr>
      </w:pPr>
      <w:bookmarkStart w:id="54" w:name="bookmark59"/>
      <w:bookmarkEnd w:id="54"/>
      <w:r>
        <w:rPr>
          <w:sz w:val="20"/>
          <w:szCs w:val="20"/>
        </w:rPr>
        <w:tab/>
        <w:t>5.1. Уполномоченный орган принимает решение об отказе в проведении Аукциона в случае выявления обстоятельств, предусмотренных п. 8 ст. 39.11 Земельного кодекса Российской Федерации.</w:t>
      </w:r>
    </w:p>
    <w:p>
      <w:pPr>
        <w:pStyle w:val="1"/>
        <w:tabs>
          <w:tab w:val="left" w:pos="1155"/>
        </w:tabs>
        <w:spacing w:line="240" w:lineRule="auto"/>
        <w:ind w:firstLine="0"/>
        <w:jc w:val="both"/>
        <w:rPr>
          <w:sz w:val="20"/>
          <w:szCs w:val="20"/>
        </w:rPr>
      </w:pPr>
      <w:bookmarkStart w:id="55" w:name="bookmark60"/>
      <w:bookmarkEnd w:id="55"/>
      <w:r>
        <w:rPr>
          <w:sz w:val="20"/>
          <w:szCs w:val="20"/>
        </w:rPr>
        <w:tab/>
        <w:t>5.2. Извещение об отказе в проведении аукциона размещается на официальном сайте организатором аукциона в течение 3 (трех) дней со дня принятия данного решения. Организатор аукциона в течение трех дней со дня принятия решения об отказе в проведении аукциона обязан известить участников аукциона об отказе в проведении аукциона.</w:t>
      </w:r>
    </w:p>
    <w:p>
      <w:pPr>
        <w:pStyle w:val="1"/>
        <w:tabs>
          <w:tab w:val="left" w:pos="1162"/>
        </w:tabs>
        <w:spacing w:after="260" w:line="240" w:lineRule="auto"/>
        <w:ind w:firstLine="0"/>
        <w:jc w:val="both"/>
        <w:rPr>
          <w:sz w:val="20"/>
          <w:szCs w:val="20"/>
        </w:rPr>
      </w:pPr>
      <w:bookmarkStart w:id="56" w:name="bookmark61"/>
      <w:bookmarkEnd w:id="56"/>
      <w:r>
        <w:rPr>
          <w:sz w:val="20"/>
          <w:szCs w:val="20"/>
        </w:rPr>
        <w:tab/>
        <w:t>5.3. Организатор аукциона вправе отменить аукцион в соответствии со статьей 448 Гражданского кодекса Российской Федерации.</w:t>
      </w:r>
    </w:p>
    <w:p>
      <w:pPr>
        <w:pStyle w:val="11"/>
        <w:keepNext/>
        <w:keepLines/>
        <w:spacing w:after="0" w:line="240" w:lineRule="auto"/>
        <w:jc w:val="both"/>
        <w:rPr>
          <w:sz w:val="20"/>
          <w:szCs w:val="20"/>
        </w:rPr>
      </w:pPr>
      <w:bookmarkStart w:id="57" w:name="bookmark62"/>
      <w:bookmarkStart w:id="58" w:name="bookmark63"/>
      <w:bookmarkStart w:id="59" w:name="bookmark64"/>
      <w:r>
        <w:rPr>
          <w:sz w:val="20"/>
          <w:szCs w:val="20"/>
        </w:rPr>
        <w:t>Приложения:</w:t>
      </w:r>
      <w:bookmarkEnd w:id="57"/>
      <w:bookmarkEnd w:id="58"/>
      <w:bookmarkEnd w:id="59"/>
    </w:p>
    <w:p>
      <w:pPr>
        <w:pStyle w:val="1"/>
        <w:spacing w:line="240" w:lineRule="auto"/>
        <w:ind w:firstLine="0"/>
        <w:jc w:val="both"/>
        <w:rPr>
          <w:sz w:val="20"/>
          <w:szCs w:val="20"/>
        </w:rPr>
      </w:pPr>
      <w:r>
        <w:rPr>
          <w:sz w:val="20"/>
          <w:szCs w:val="20"/>
        </w:rPr>
        <w:t>Приложение 1: примерная форма договора купли-продажи земельного участка</w:t>
      </w:r>
    </w:p>
    <w:p>
      <w:pPr>
        <w:pStyle w:val="1"/>
        <w:spacing w:after="120" w:line="240" w:lineRule="auto"/>
        <w:ind w:firstLine="0"/>
        <w:jc w:val="both"/>
        <w:rPr>
          <w:sz w:val="20"/>
          <w:szCs w:val="20"/>
        </w:rPr>
      </w:pPr>
      <w:r>
        <w:rPr>
          <w:sz w:val="20"/>
          <w:szCs w:val="20"/>
        </w:rPr>
        <w:t>Приложение 2: форма заявки на участие в аукционе.</w:t>
      </w:r>
    </w:p>
    <w:p>
      <w:pPr>
        <w:pStyle w:val="1"/>
        <w:spacing w:after="120" w:line="240" w:lineRule="auto"/>
        <w:ind w:firstLine="0"/>
        <w:jc w:val="both"/>
        <w:rPr>
          <w:sz w:val="20"/>
          <w:szCs w:val="20"/>
        </w:rPr>
      </w:pPr>
    </w:p>
    <w:p>
      <w:pPr>
        <w:pStyle w:val="1"/>
        <w:spacing w:after="120" w:line="240" w:lineRule="auto"/>
        <w:ind w:firstLine="0"/>
        <w:jc w:val="both"/>
        <w:rPr>
          <w:sz w:val="20"/>
          <w:szCs w:val="20"/>
        </w:rPr>
      </w:pPr>
    </w:p>
    <w:sectPr>
      <w:footerReference w:type="default" r:id="rId13"/>
      <w:footerReference w:type="first" r:id="rId14"/>
      <w:pgSz w:w="11900" w:h="16840"/>
      <w:pgMar w:top="567" w:right="811" w:bottom="1433" w:left="1391" w:header="57" w:footer="0" w:gutter="0"/>
      <w:cols w:space="720"/>
      <w:noEndnote/>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spacing w:line="1" w:lineRule="exac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spacing w:line="1" w:lineRule="exac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footnote>
  <w:footnote w:type="continuationSeparator" w:id="0">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0422C4"/>
    <w:multiLevelType w:val="multilevel"/>
    <w:tmpl w:val="D43C8B32"/>
    <w:lvl w:ilvl="0">
      <w:start w:val="4"/>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3EC551F5"/>
    <w:multiLevelType w:val="multilevel"/>
    <w:tmpl w:val="CADAB3F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81"/>
  <w:drawingGridVerticalSpacing w:val="181"/>
  <w:characterSpacingControl w:val="compressPunctuation"/>
  <w:hdrShapeDefaults>
    <o:shapedefaults v:ext="edit" spidmax="30721"/>
  </w:hdrShapeDefaults>
  <w:footnotePr>
    <w:footnote w:id="-1"/>
    <w:footnote w:id="0"/>
  </w:footnotePr>
  <w:endnotePr>
    <w:endnote w:id="-1"/>
    <w:endnote w:id="0"/>
  </w:endnotePr>
  <w:compat>
    <w:doNotExpandShiftReturn/>
    <w:useFELayout/>
    <w:compatSetting w:name="compatibilityMode" w:uri="http://schemas.microsoft.com/office/word" w:val="14"/>
  </w:compat>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5:docId w15:val="{23B4CE02-2948-4B88-AFD4-8704231CB5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Unicode MS" w:eastAsia="Arial Unicode MS" w:hAnsi="Arial Unicode MS" w:cs="Arial Unicode MS"/>
        <w:sz w:val="24"/>
        <w:szCs w:val="24"/>
        <w:lang w:val="ru-RU" w:eastAsia="ru-RU" w:bidi="ru-RU"/>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Pr>
      <w:rFonts w:ascii="Calibri" w:eastAsia="Calibri" w:hAnsi="Calibri" w:cs="Calibri"/>
      <w:b/>
      <w:bCs/>
      <w:i w:val="0"/>
      <w:iCs w:val="0"/>
      <w:smallCaps w:val="0"/>
      <w:strike w:val="0"/>
      <w:sz w:val="22"/>
      <w:szCs w:val="22"/>
      <w:u w:val="none"/>
      <w:shd w:val="clear" w:color="auto" w:fill="auto"/>
    </w:rPr>
  </w:style>
  <w:style w:type="character" w:customStyle="1" w:styleId="a3">
    <w:name w:val="Основной текст_"/>
    <w:basedOn w:val="a0"/>
    <w:link w:val="1"/>
    <w:rPr>
      <w:rFonts w:ascii="Times New Roman" w:eastAsia="Times New Roman" w:hAnsi="Times New Roman" w:cs="Times New Roman"/>
      <w:b w:val="0"/>
      <w:bCs w:val="0"/>
      <w:i w:val="0"/>
      <w:iCs w:val="0"/>
      <w:smallCaps w:val="0"/>
      <w:strike w:val="0"/>
      <w:sz w:val="22"/>
      <w:szCs w:val="22"/>
      <w:u w:val="none"/>
      <w:shd w:val="clear" w:color="auto" w:fill="auto"/>
    </w:rPr>
  </w:style>
  <w:style w:type="character" w:customStyle="1" w:styleId="21">
    <w:name w:val="Колонтитул (2)_"/>
    <w:basedOn w:val="a0"/>
    <w:link w:val="22"/>
    <w:rPr>
      <w:rFonts w:ascii="Times New Roman" w:eastAsia="Times New Roman" w:hAnsi="Times New Roman" w:cs="Times New Roman"/>
      <w:b w:val="0"/>
      <w:bCs w:val="0"/>
      <w:i w:val="0"/>
      <w:iCs w:val="0"/>
      <w:smallCaps w:val="0"/>
      <w:strike w:val="0"/>
      <w:sz w:val="20"/>
      <w:szCs w:val="20"/>
      <w:u w:val="none"/>
      <w:shd w:val="clear" w:color="auto" w:fill="auto"/>
    </w:rPr>
  </w:style>
  <w:style w:type="character" w:customStyle="1" w:styleId="a4">
    <w:name w:val="Другое_"/>
    <w:basedOn w:val="a0"/>
    <w:link w:val="a5"/>
    <w:rPr>
      <w:rFonts w:ascii="Times New Roman" w:eastAsia="Times New Roman" w:hAnsi="Times New Roman" w:cs="Times New Roman"/>
      <w:b w:val="0"/>
      <w:bCs w:val="0"/>
      <w:i w:val="0"/>
      <w:iCs w:val="0"/>
      <w:smallCaps w:val="0"/>
      <w:strike w:val="0"/>
      <w:sz w:val="22"/>
      <w:szCs w:val="22"/>
      <w:u w:val="none"/>
      <w:shd w:val="clear" w:color="auto" w:fill="auto"/>
    </w:rPr>
  </w:style>
  <w:style w:type="character" w:customStyle="1" w:styleId="10">
    <w:name w:val="Заголовок №1_"/>
    <w:basedOn w:val="a0"/>
    <w:link w:val="11"/>
    <w:rPr>
      <w:rFonts w:ascii="Times New Roman" w:eastAsia="Times New Roman" w:hAnsi="Times New Roman" w:cs="Times New Roman"/>
      <w:b/>
      <w:bCs/>
      <w:i w:val="0"/>
      <w:iCs w:val="0"/>
      <w:smallCaps w:val="0"/>
      <w:strike w:val="0"/>
      <w:sz w:val="22"/>
      <w:szCs w:val="22"/>
      <w:u w:val="none"/>
      <w:shd w:val="clear" w:color="auto" w:fill="auto"/>
    </w:rPr>
  </w:style>
  <w:style w:type="paragraph" w:customStyle="1" w:styleId="20">
    <w:name w:val="Основной текст (2)"/>
    <w:basedOn w:val="a"/>
    <w:link w:val="2"/>
    <w:pPr>
      <w:spacing w:after="1000"/>
      <w:jc w:val="center"/>
    </w:pPr>
    <w:rPr>
      <w:rFonts w:ascii="Calibri" w:eastAsia="Calibri" w:hAnsi="Calibri" w:cs="Calibri"/>
      <w:b/>
      <w:bCs/>
      <w:sz w:val="22"/>
      <w:szCs w:val="22"/>
    </w:rPr>
  </w:style>
  <w:style w:type="paragraph" w:customStyle="1" w:styleId="1">
    <w:name w:val="Основной текст1"/>
    <w:basedOn w:val="a"/>
    <w:link w:val="a3"/>
    <w:pPr>
      <w:spacing w:line="252" w:lineRule="auto"/>
      <w:ind w:firstLine="400"/>
    </w:pPr>
    <w:rPr>
      <w:rFonts w:ascii="Times New Roman" w:eastAsia="Times New Roman" w:hAnsi="Times New Roman" w:cs="Times New Roman"/>
      <w:sz w:val="22"/>
      <w:szCs w:val="22"/>
    </w:rPr>
  </w:style>
  <w:style w:type="paragraph" w:customStyle="1" w:styleId="22">
    <w:name w:val="Колонтитул (2)"/>
    <w:basedOn w:val="a"/>
    <w:link w:val="21"/>
    <w:rPr>
      <w:rFonts w:ascii="Times New Roman" w:eastAsia="Times New Roman" w:hAnsi="Times New Roman" w:cs="Times New Roman"/>
      <w:sz w:val="20"/>
      <w:szCs w:val="20"/>
    </w:rPr>
  </w:style>
  <w:style w:type="paragraph" w:customStyle="1" w:styleId="a5">
    <w:name w:val="Другое"/>
    <w:basedOn w:val="a"/>
    <w:link w:val="a4"/>
    <w:pPr>
      <w:spacing w:line="252" w:lineRule="auto"/>
      <w:ind w:firstLine="400"/>
    </w:pPr>
    <w:rPr>
      <w:rFonts w:ascii="Times New Roman" w:eastAsia="Times New Roman" w:hAnsi="Times New Roman" w:cs="Times New Roman"/>
      <w:sz w:val="22"/>
      <w:szCs w:val="22"/>
    </w:rPr>
  </w:style>
  <w:style w:type="paragraph" w:customStyle="1" w:styleId="11">
    <w:name w:val="Заголовок №1"/>
    <w:basedOn w:val="a"/>
    <w:link w:val="10"/>
    <w:pPr>
      <w:spacing w:after="260" w:line="252" w:lineRule="auto"/>
      <w:jc w:val="center"/>
      <w:outlineLvl w:val="0"/>
    </w:pPr>
    <w:rPr>
      <w:rFonts w:ascii="Times New Roman" w:eastAsia="Times New Roman" w:hAnsi="Times New Roman" w:cs="Times New Roman"/>
      <w:b/>
      <w:bCs/>
      <w:sz w:val="22"/>
      <w:szCs w:val="22"/>
    </w:rPr>
  </w:style>
  <w:style w:type="paragraph" w:styleId="a6">
    <w:name w:val="header"/>
    <w:basedOn w:val="a"/>
    <w:link w:val="a7"/>
    <w:uiPriority w:val="99"/>
    <w:unhideWhenUsed/>
    <w:pPr>
      <w:tabs>
        <w:tab w:val="center" w:pos="4677"/>
        <w:tab w:val="right" w:pos="9355"/>
      </w:tabs>
    </w:pPr>
  </w:style>
  <w:style w:type="character" w:customStyle="1" w:styleId="a7">
    <w:name w:val="Верхний колонтитул Знак"/>
    <w:basedOn w:val="a0"/>
    <w:link w:val="a6"/>
    <w:uiPriority w:val="99"/>
    <w:rPr>
      <w:color w:val="000000"/>
    </w:rPr>
  </w:style>
  <w:style w:type="paragraph" w:styleId="a8">
    <w:name w:val="footer"/>
    <w:basedOn w:val="a"/>
    <w:link w:val="a9"/>
    <w:uiPriority w:val="99"/>
    <w:unhideWhenUsed/>
    <w:pPr>
      <w:tabs>
        <w:tab w:val="center" w:pos="4677"/>
        <w:tab w:val="right" w:pos="9355"/>
      </w:tabs>
    </w:pPr>
  </w:style>
  <w:style w:type="character" w:customStyle="1" w:styleId="a9">
    <w:name w:val="Нижний колонтитул Знак"/>
    <w:basedOn w:val="a0"/>
    <w:link w:val="a8"/>
    <w:uiPriority w:val="99"/>
    <w:rPr>
      <w:color w:val="000000"/>
    </w:rPr>
  </w:style>
  <w:style w:type="character" w:styleId="aa">
    <w:name w:val="Hyperlink"/>
    <w:basedOn w:val="a0"/>
    <w:uiPriority w:val="99"/>
    <w:unhideWhenUsed/>
    <w:rPr>
      <w:color w:val="0000FF" w:themeColor="hyperlink"/>
      <w:u w:val="single"/>
    </w:rPr>
  </w:style>
  <w:style w:type="paragraph" w:customStyle="1" w:styleId="ConsPlusNormal">
    <w:name w:val="ConsPlusNormal"/>
    <w:pPr>
      <w:autoSpaceDE w:val="0"/>
      <w:autoSpaceDN w:val="0"/>
      <w:adjustRightInd w:val="0"/>
      <w:ind w:firstLine="720"/>
    </w:pPr>
    <w:rPr>
      <w:rFonts w:ascii="Arial" w:eastAsia="Times New Roman" w:hAnsi="Arial" w:cs="Arial"/>
      <w:sz w:val="20"/>
      <w:szCs w:val="20"/>
      <w:lang w:bidi="ar-SA"/>
    </w:rPr>
  </w:style>
  <w:style w:type="paragraph" w:styleId="ab">
    <w:name w:val="Balloon Text"/>
    <w:basedOn w:val="a"/>
    <w:link w:val="ac"/>
    <w:uiPriority w:val="99"/>
    <w:semiHidden/>
    <w:unhideWhenUsed/>
    <w:rPr>
      <w:rFonts w:ascii="Segoe UI" w:hAnsi="Segoe UI" w:cs="Segoe UI"/>
      <w:sz w:val="18"/>
      <w:szCs w:val="18"/>
    </w:rPr>
  </w:style>
  <w:style w:type="character" w:customStyle="1" w:styleId="ac">
    <w:name w:val="Текст выноски Знак"/>
    <w:basedOn w:val="a0"/>
    <w:link w:val="ab"/>
    <w:uiPriority w:val="99"/>
    <w:semiHidden/>
    <w:rPr>
      <w:rFonts w:ascii="Segoe UI"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5596539">
      <w:bodyDiv w:val="1"/>
      <w:marLeft w:val="0"/>
      <w:marRight w:val="0"/>
      <w:marTop w:val="0"/>
      <w:marBottom w:val="0"/>
      <w:divBdr>
        <w:top w:val="none" w:sz="0" w:space="0" w:color="auto"/>
        <w:left w:val="none" w:sz="0" w:space="0" w:color="auto"/>
        <w:bottom w:val="none" w:sz="0" w:space="0" w:color="auto"/>
        <w:right w:val="none" w:sz="0" w:space="0" w:color="auto"/>
      </w:divBdr>
      <w:divsChild>
        <w:div w:id="1053121433">
          <w:marLeft w:val="0"/>
          <w:marRight w:val="0"/>
          <w:marTop w:val="0"/>
          <w:marBottom w:val="0"/>
          <w:divBdr>
            <w:top w:val="none" w:sz="0" w:space="0" w:color="auto"/>
            <w:left w:val="none" w:sz="0" w:space="0" w:color="auto"/>
            <w:bottom w:val="none" w:sz="0" w:space="0" w:color="auto"/>
            <w:right w:val="none" w:sz="0" w:space="0" w:color="auto"/>
          </w:divBdr>
        </w:div>
      </w:divsChild>
    </w:div>
    <w:div w:id="356083860">
      <w:bodyDiv w:val="1"/>
      <w:marLeft w:val="0"/>
      <w:marRight w:val="0"/>
      <w:marTop w:val="0"/>
      <w:marBottom w:val="0"/>
      <w:divBdr>
        <w:top w:val="none" w:sz="0" w:space="0" w:color="auto"/>
        <w:left w:val="none" w:sz="0" w:space="0" w:color="auto"/>
        <w:bottom w:val="none" w:sz="0" w:space="0" w:color="auto"/>
        <w:right w:val="none" w:sz="0" w:space="0" w:color="auto"/>
      </w:divBdr>
      <w:divsChild>
        <w:div w:id="79716636">
          <w:marLeft w:val="0"/>
          <w:marRight w:val="0"/>
          <w:marTop w:val="0"/>
          <w:marBottom w:val="0"/>
          <w:divBdr>
            <w:top w:val="none" w:sz="0" w:space="0" w:color="auto"/>
            <w:left w:val="none" w:sz="0" w:space="0" w:color="auto"/>
            <w:bottom w:val="none" w:sz="0" w:space="0" w:color="auto"/>
            <w:right w:val="none" w:sz="0" w:space="0" w:color="auto"/>
          </w:divBdr>
        </w:div>
      </w:divsChild>
    </w:div>
    <w:div w:id="492260443">
      <w:bodyDiv w:val="1"/>
      <w:marLeft w:val="0"/>
      <w:marRight w:val="0"/>
      <w:marTop w:val="0"/>
      <w:marBottom w:val="0"/>
      <w:divBdr>
        <w:top w:val="none" w:sz="0" w:space="0" w:color="auto"/>
        <w:left w:val="none" w:sz="0" w:space="0" w:color="auto"/>
        <w:bottom w:val="none" w:sz="0" w:space="0" w:color="auto"/>
        <w:right w:val="none" w:sz="0" w:space="0" w:color="auto"/>
      </w:divBdr>
      <w:divsChild>
        <w:div w:id="774786237">
          <w:marLeft w:val="0"/>
          <w:marRight w:val="0"/>
          <w:marTop w:val="0"/>
          <w:marBottom w:val="0"/>
          <w:divBdr>
            <w:top w:val="none" w:sz="0" w:space="0" w:color="auto"/>
            <w:left w:val="none" w:sz="0" w:space="0" w:color="auto"/>
            <w:bottom w:val="none" w:sz="0" w:space="0" w:color="auto"/>
            <w:right w:val="none" w:sz="0" w:space="0" w:color="auto"/>
          </w:divBdr>
        </w:div>
      </w:divsChild>
    </w:div>
    <w:div w:id="497498748">
      <w:bodyDiv w:val="1"/>
      <w:marLeft w:val="0"/>
      <w:marRight w:val="0"/>
      <w:marTop w:val="0"/>
      <w:marBottom w:val="0"/>
      <w:divBdr>
        <w:top w:val="none" w:sz="0" w:space="0" w:color="auto"/>
        <w:left w:val="none" w:sz="0" w:space="0" w:color="auto"/>
        <w:bottom w:val="none" w:sz="0" w:space="0" w:color="auto"/>
        <w:right w:val="none" w:sz="0" w:space="0" w:color="auto"/>
      </w:divBdr>
      <w:divsChild>
        <w:div w:id="1769697208">
          <w:marLeft w:val="0"/>
          <w:marRight w:val="0"/>
          <w:marTop w:val="0"/>
          <w:marBottom w:val="0"/>
          <w:divBdr>
            <w:top w:val="none" w:sz="0" w:space="0" w:color="auto"/>
            <w:left w:val="none" w:sz="0" w:space="0" w:color="auto"/>
            <w:bottom w:val="none" w:sz="0" w:space="0" w:color="auto"/>
            <w:right w:val="none" w:sz="0" w:space="0" w:color="auto"/>
          </w:divBdr>
        </w:div>
      </w:divsChild>
    </w:div>
    <w:div w:id="549222985">
      <w:bodyDiv w:val="1"/>
      <w:marLeft w:val="0"/>
      <w:marRight w:val="0"/>
      <w:marTop w:val="0"/>
      <w:marBottom w:val="0"/>
      <w:divBdr>
        <w:top w:val="none" w:sz="0" w:space="0" w:color="auto"/>
        <w:left w:val="none" w:sz="0" w:space="0" w:color="auto"/>
        <w:bottom w:val="none" w:sz="0" w:space="0" w:color="auto"/>
        <w:right w:val="none" w:sz="0" w:space="0" w:color="auto"/>
      </w:divBdr>
      <w:divsChild>
        <w:div w:id="1495219539">
          <w:marLeft w:val="0"/>
          <w:marRight w:val="0"/>
          <w:marTop w:val="0"/>
          <w:marBottom w:val="0"/>
          <w:divBdr>
            <w:top w:val="none" w:sz="0" w:space="0" w:color="auto"/>
            <w:left w:val="none" w:sz="0" w:space="0" w:color="auto"/>
            <w:bottom w:val="none" w:sz="0" w:space="0" w:color="auto"/>
            <w:right w:val="none" w:sz="0" w:space="0" w:color="auto"/>
          </w:divBdr>
        </w:div>
      </w:divsChild>
    </w:div>
    <w:div w:id="721638166">
      <w:bodyDiv w:val="1"/>
      <w:marLeft w:val="0"/>
      <w:marRight w:val="0"/>
      <w:marTop w:val="0"/>
      <w:marBottom w:val="0"/>
      <w:divBdr>
        <w:top w:val="none" w:sz="0" w:space="0" w:color="auto"/>
        <w:left w:val="none" w:sz="0" w:space="0" w:color="auto"/>
        <w:bottom w:val="none" w:sz="0" w:space="0" w:color="auto"/>
        <w:right w:val="none" w:sz="0" w:space="0" w:color="auto"/>
      </w:divBdr>
      <w:divsChild>
        <w:div w:id="1085300183">
          <w:marLeft w:val="0"/>
          <w:marRight w:val="0"/>
          <w:marTop w:val="0"/>
          <w:marBottom w:val="0"/>
          <w:divBdr>
            <w:top w:val="none" w:sz="0" w:space="0" w:color="auto"/>
            <w:left w:val="none" w:sz="0" w:space="0" w:color="auto"/>
            <w:bottom w:val="none" w:sz="0" w:space="0" w:color="auto"/>
            <w:right w:val="none" w:sz="0" w:space="0" w:color="auto"/>
          </w:divBdr>
        </w:div>
      </w:divsChild>
    </w:div>
    <w:div w:id="789738856">
      <w:bodyDiv w:val="1"/>
      <w:marLeft w:val="0"/>
      <w:marRight w:val="0"/>
      <w:marTop w:val="0"/>
      <w:marBottom w:val="0"/>
      <w:divBdr>
        <w:top w:val="none" w:sz="0" w:space="0" w:color="auto"/>
        <w:left w:val="none" w:sz="0" w:space="0" w:color="auto"/>
        <w:bottom w:val="none" w:sz="0" w:space="0" w:color="auto"/>
        <w:right w:val="none" w:sz="0" w:space="0" w:color="auto"/>
      </w:divBdr>
      <w:divsChild>
        <w:div w:id="1371539925">
          <w:marLeft w:val="0"/>
          <w:marRight w:val="0"/>
          <w:marTop w:val="0"/>
          <w:marBottom w:val="0"/>
          <w:divBdr>
            <w:top w:val="none" w:sz="0" w:space="0" w:color="auto"/>
            <w:left w:val="none" w:sz="0" w:space="0" w:color="auto"/>
            <w:bottom w:val="none" w:sz="0" w:space="0" w:color="auto"/>
            <w:right w:val="none" w:sz="0" w:space="0" w:color="auto"/>
          </w:divBdr>
        </w:div>
      </w:divsChild>
    </w:div>
    <w:div w:id="980647338">
      <w:bodyDiv w:val="1"/>
      <w:marLeft w:val="0"/>
      <w:marRight w:val="0"/>
      <w:marTop w:val="0"/>
      <w:marBottom w:val="0"/>
      <w:divBdr>
        <w:top w:val="none" w:sz="0" w:space="0" w:color="auto"/>
        <w:left w:val="none" w:sz="0" w:space="0" w:color="auto"/>
        <w:bottom w:val="none" w:sz="0" w:space="0" w:color="auto"/>
        <w:right w:val="none" w:sz="0" w:space="0" w:color="auto"/>
      </w:divBdr>
      <w:divsChild>
        <w:div w:id="988169422">
          <w:marLeft w:val="0"/>
          <w:marRight w:val="0"/>
          <w:marTop w:val="0"/>
          <w:marBottom w:val="0"/>
          <w:divBdr>
            <w:top w:val="none" w:sz="0" w:space="0" w:color="auto"/>
            <w:left w:val="none" w:sz="0" w:space="0" w:color="auto"/>
            <w:bottom w:val="none" w:sz="0" w:space="0" w:color="auto"/>
            <w:right w:val="none" w:sz="0" w:space="0" w:color="auto"/>
          </w:divBdr>
        </w:div>
      </w:divsChild>
    </w:div>
    <w:div w:id="1234972692">
      <w:bodyDiv w:val="1"/>
      <w:marLeft w:val="0"/>
      <w:marRight w:val="0"/>
      <w:marTop w:val="0"/>
      <w:marBottom w:val="0"/>
      <w:divBdr>
        <w:top w:val="none" w:sz="0" w:space="0" w:color="auto"/>
        <w:left w:val="none" w:sz="0" w:space="0" w:color="auto"/>
        <w:bottom w:val="none" w:sz="0" w:space="0" w:color="auto"/>
        <w:right w:val="none" w:sz="0" w:space="0" w:color="auto"/>
      </w:divBdr>
      <w:divsChild>
        <w:div w:id="448135467">
          <w:marLeft w:val="0"/>
          <w:marRight w:val="0"/>
          <w:marTop w:val="0"/>
          <w:marBottom w:val="0"/>
          <w:divBdr>
            <w:top w:val="none" w:sz="0" w:space="0" w:color="auto"/>
            <w:left w:val="none" w:sz="0" w:space="0" w:color="auto"/>
            <w:bottom w:val="none" w:sz="0" w:space="0" w:color="auto"/>
            <w:right w:val="none" w:sz="0" w:space="0" w:color="auto"/>
          </w:divBdr>
        </w:div>
      </w:divsChild>
    </w:div>
    <w:div w:id="1471172912">
      <w:bodyDiv w:val="1"/>
      <w:marLeft w:val="0"/>
      <w:marRight w:val="0"/>
      <w:marTop w:val="0"/>
      <w:marBottom w:val="0"/>
      <w:divBdr>
        <w:top w:val="none" w:sz="0" w:space="0" w:color="auto"/>
        <w:left w:val="none" w:sz="0" w:space="0" w:color="auto"/>
        <w:bottom w:val="none" w:sz="0" w:space="0" w:color="auto"/>
        <w:right w:val="none" w:sz="0" w:space="0" w:color="auto"/>
      </w:divBdr>
      <w:divsChild>
        <w:div w:id="978995080">
          <w:marLeft w:val="0"/>
          <w:marRight w:val="0"/>
          <w:marTop w:val="0"/>
          <w:marBottom w:val="0"/>
          <w:divBdr>
            <w:top w:val="none" w:sz="0" w:space="0" w:color="auto"/>
            <w:left w:val="none" w:sz="0" w:space="0" w:color="auto"/>
            <w:bottom w:val="none" w:sz="0" w:space="0" w:color="auto"/>
            <w:right w:val="none" w:sz="0" w:space="0" w:color="auto"/>
          </w:divBdr>
        </w:div>
      </w:divsChild>
    </w:div>
    <w:div w:id="1585720855">
      <w:bodyDiv w:val="1"/>
      <w:marLeft w:val="0"/>
      <w:marRight w:val="0"/>
      <w:marTop w:val="0"/>
      <w:marBottom w:val="0"/>
      <w:divBdr>
        <w:top w:val="none" w:sz="0" w:space="0" w:color="auto"/>
        <w:left w:val="none" w:sz="0" w:space="0" w:color="auto"/>
        <w:bottom w:val="none" w:sz="0" w:space="0" w:color="auto"/>
        <w:right w:val="none" w:sz="0" w:space="0" w:color="auto"/>
      </w:divBdr>
      <w:divsChild>
        <w:div w:id="1642228723">
          <w:marLeft w:val="0"/>
          <w:marRight w:val="0"/>
          <w:marTop w:val="0"/>
          <w:marBottom w:val="0"/>
          <w:divBdr>
            <w:top w:val="none" w:sz="0" w:space="0" w:color="auto"/>
            <w:left w:val="none" w:sz="0" w:space="0" w:color="auto"/>
            <w:bottom w:val="none" w:sz="0" w:space="0" w:color="auto"/>
            <w:right w:val="none" w:sz="0" w:space="0" w:color="auto"/>
          </w:divBdr>
        </w:div>
      </w:divsChild>
    </w:div>
    <w:div w:id="1869102725">
      <w:bodyDiv w:val="1"/>
      <w:marLeft w:val="0"/>
      <w:marRight w:val="0"/>
      <w:marTop w:val="0"/>
      <w:marBottom w:val="0"/>
      <w:divBdr>
        <w:top w:val="none" w:sz="0" w:space="0" w:color="auto"/>
        <w:left w:val="none" w:sz="0" w:space="0" w:color="auto"/>
        <w:bottom w:val="none" w:sz="0" w:space="0" w:color="auto"/>
        <w:right w:val="none" w:sz="0" w:space="0" w:color="auto"/>
      </w:divBdr>
      <w:divsChild>
        <w:div w:id="1579943822">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torgi.gov.ru/new" TargetMode="External"/><Relationship Id="rId12" Type="http://schemas.openxmlformats.org/officeDocument/2006/relationships/hyperlink" Target="http://www.torgi.gov.ru/new"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torgi@volraion.ru"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www.torgi.gov.ru" TargetMode="External"/><Relationship Id="rId4" Type="http://schemas.openxmlformats.org/officeDocument/2006/relationships/webSettings" Target="webSettings.xml"/><Relationship Id="rId9" Type="http://schemas.openxmlformats.org/officeDocument/2006/relationships/hyperlink" Target="mailto:torgi@volraion.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486</TotalTime>
  <Pages>9</Pages>
  <Words>3951</Words>
  <Characters>22524</Characters>
  <Application>Microsoft Office Word</Application>
  <DocSecurity>0</DocSecurity>
  <Lines>187</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DG Win&amp;Soft</Company>
  <LinksUpToDate>false</LinksUpToDate>
  <CharactersWithSpaces>26423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Кичигина Светлана Валерьевна</dc:creator>
  <cp:lastModifiedBy>Жукова Александра /Алексеевна</cp:lastModifiedBy>
  <cp:revision>168</cp:revision>
  <cp:lastPrinted>2023-07-25T15:34:00Z</cp:lastPrinted>
  <dcterms:created xsi:type="dcterms:W3CDTF">2023-05-03T08:54:00Z</dcterms:created>
  <dcterms:modified xsi:type="dcterms:W3CDTF">2024-01-22T12:22:00Z</dcterms:modified>
</cp:coreProperties>
</file>