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31 августа 2023 года с 11:00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30 августа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30 августа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35:25:0706001:894</w:t>
      </w:r>
      <w:r>
        <w:rPr>
          <w:rFonts w:ascii="Times New Roman" w:hAnsi="Times New Roman" w:cs="Times New Roman"/>
          <w:color w:val="000000"/>
        </w:rPr>
        <w:t xml:space="preserve">, площадью 2971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Спасское сельское поселение, п. </w:t>
      </w:r>
      <w:proofErr w:type="spellStart"/>
      <w:r>
        <w:rPr>
          <w:rFonts w:ascii="Times New Roman" w:hAnsi="Times New Roman" w:cs="Times New Roman"/>
          <w:color w:val="000000"/>
          <w:lang w:bidi="ru-RU"/>
        </w:rPr>
        <w:t>Непотягово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923 654,19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lang w:val="en-US"/>
              </w:rPr>
              <w:t>27 709</w:t>
            </w:r>
            <w:r>
              <w:rPr>
                <w:b/>
                <w:bCs/>
                <w:sz w:val="20"/>
                <w:szCs w:val="20"/>
              </w:rPr>
              <w:t>,62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923 654,19</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Спасское сельское поселение, п. </w:t>
            </w:r>
            <w:proofErr w:type="spellStart"/>
            <w:r>
              <w:rPr>
                <w:b/>
                <w:bCs/>
                <w:sz w:val="20"/>
                <w:szCs w:val="20"/>
              </w:rPr>
              <w:t>Непотягово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2971</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35:25:0706001:894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85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35:00-6.473; Прибрежная защитная полоса </w:t>
            </w:r>
            <w:proofErr w:type="spellStart"/>
            <w:r>
              <w:rPr>
                <w:bCs/>
                <w:sz w:val="20"/>
                <w:szCs w:val="20"/>
              </w:rPr>
              <w:t>р.Шограш</w:t>
            </w:r>
            <w:proofErr w:type="spellEnd"/>
            <w:r>
              <w:rPr>
                <w:bCs/>
                <w:sz w:val="20"/>
                <w:szCs w:val="20"/>
              </w:rPr>
              <w:t xml:space="preserve"> в пределах </w:t>
            </w:r>
            <w:proofErr w:type="spellStart"/>
            <w:r>
              <w:rPr>
                <w:bCs/>
                <w:sz w:val="20"/>
                <w:szCs w:val="20"/>
              </w:rPr>
              <w:t>г.Вологды</w:t>
            </w:r>
            <w:proofErr w:type="spellEnd"/>
            <w:r>
              <w:rPr>
                <w:bCs/>
                <w:sz w:val="20"/>
                <w:szCs w:val="20"/>
              </w:rPr>
              <w:t xml:space="preserve"> и Вологодского р-на Вологодской области.</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03.05.2023 № ВЛ-08/53298,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05.05.2023 № МР2/2-2/15/2265, </w:t>
      </w:r>
    </w:p>
    <w:p>
      <w:pPr>
        <w:pStyle w:val="1"/>
        <w:tabs>
          <w:tab w:val="left" w:pos="327"/>
        </w:tabs>
        <w:ind w:left="400" w:right="59" w:firstLine="0"/>
        <w:jc w:val="both"/>
        <w:rPr>
          <w:bCs/>
          <w:sz w:val="20"/>
          <w:szCs w:val="20"/>
        </w:rPr>
      </w:pPr>
      <w:r>
        <w:rPr>
          <w:bCs/>
          <w:sz w:val="20"/>
          <w:szCs w:val="20"/>
        </w:rPr>
        <w:t>ПАО «Ростелеком» от 16.05.2023 № 01/17/11630/23</w:t>
      </w:r>
      <w:bookmarkStart w:id="1" w:name="_GoBack"/>
      <w:bookmarkEnd w:id="1"/>
      <w:r>
        <w:rPr>
          <w:bCs/>
          <w:sz w:val="20"/>
          <w:szCs w:val="20"/>
        </w:rPr>
        <w:t xml:space="preserve">,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02.05.2023 № 6-3/374.</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r>
        <w:rPr>
          <w:b/>
          <w:bCs/>
          <w:color w:val="auto"/>
          <w:sz w:val="20"/>
          <w:szCs w:val="20"/>
        </w:rPr>
        <w:t xml:space="preserve">Спасского </w:t>
      </w:r>
      <w:r>
        <w:rPr>
          <w:bCs/>
          <w:color w:val="auto"/>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ind w:right="59"/>
        <w:jc w:val="both"/>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w:t>
      </w:r>
      <w:r>
        <w:rPr>
          <w:sz w:val="20"/>
          <w:szCs w:val="20"/>
        </w:rPr>
        <w:lastRenderedPageBreak/>
        <w:t>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 xml:space="preserve">После окончания срока приема заявок Оператор в Личном кабинете Организатора открывает доступ к </w:t>
      </w:r>
      <w:r>
        <w:rPr>
          <w:sz w:val="20"/>
          <w:szCs w:val="20"/>
        </w:rPr>
        <w:lastRenderedPageBreak/>
        <w:t>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 xml:space="preserve">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w:t>
      </w:r>
      <w:r>
        <w:rPr>
          <w:sz w:val="20"/>
          <w:szCs w:val="20"/>
        </w:rPr>
        <w:lastRenderedPageBreak/>
        <w:t>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48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635</TotalTime>
  <Pages>9</Pages>
  <Words>3972</Words>
  <Characters>22642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188</cp:revision>
  <cp:lastPrinted>2023-07-28T09:47:00Z</cp:lastPrinted>
  <dcterms:created xsi:type="dcterms:W3CDTF">2023-05-03T08:54:00Z</dcterms:created>
  <dcterms:modified xsi:type="dcterms:W3CDTF">2023-07-28T13:05:00Z</dcterms:modified>
</cp:coreProperties>
</file>