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A0D9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0A7AB2F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B5ED16A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F9490D8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118597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D09F681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242A009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210245B3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F38A1FE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AAB6F6D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4DDEA700" w14:textId="77777777" w:rsidR="00AD414F" w:rsidRPr="00C87400" w:rsidRDefault="00AD414F" w:rsidP="00AD414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71B9953F" w14:textId="77777777" w:rsidR="00AD414F" w:rsidRPr="00C87400" w:rsidRDefault="00AD414F" w:rsidP="00AD414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779F8174" w14:textId="77777777" w:rsidR="00AD414F" w:rsidRPr="00C87400" w:rsidRDefault="00AD414F" w:rsidP="00AD414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3D362AD0" w14:textId="77777777" w:rsidR="00AD414F" w:rsidRPr="00C87400" w:rsidRDefault="00AD414F" w:rsidP="00AD414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62154826" w14:textId="77777777" w:rsidR="00AD414F" w:rsidRPr="00C87400" w:rsidRDefault="00AD414F" w:rsidP="00AD414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657DCACB" w14:textId="77777777" w:rsidR="00AD414F" w:rsidRPr="00C87400" w:rsidRDefault="00AD414F" w:rsidP="00AD414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25D9CAA7" w14:textId="77777777" w:rsidR="00196D27" w:rsidRPr="00C87400" w:rsidRDefault="00AD414F" w:rsidP="00AD414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A82D0A">
        <w:rPr>
          <w:color w:val="auto"/>
          <w:szCs w:val="24"/>
          <w:highlight w:val="yellow"/>
        </w:rPr>
        <w:t>1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2F403AA4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4E16747A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4E7F506D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</w:t>
      </w:r>
      <w:r w:rsidR="00A82D0A">
        <w:rPr>
          <w:bCs/>
          <w:szCs w:val="24"/>
          <w:lang w:bidi="ru-RU"/>
        </w:rPr>
        <w:t>3</w:t>
      </w:r>
      <w:r w:rsidR="00AA1D67" w:rsidRPr="004A6FB5">
        <w:rPr>
          <w:color w:val="auto"/>
          <w:szCs w:val="24"/>
        </w:rPr>
        <w:t>.</w:t>
      </w:r>
    </w:p>
    <w:p w14:paraId="053D32DA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</w:t>
      </w:r>
      <w:r w:rsidR="00A82D0A">
        <w:rPr>
          <w:bCs/>
          <w:szCs w:val="24"/>
          <w:lang w:bidi="ru-RU"/>
        </w:rPr>
        <w:t>3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A82D0A">
        <w:rPr>
          <w:bCs/>
          <w:szCs w:val="24"/>
          <w:lang w:bidi="ru-RU"/>
        </w:rPr>
        <w:t>2128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B60A1E">
        <w:rPr>
          <w:bCs/>
          <w:szCs w:val="24"/>
          <w:lang w:bidi="ru-RU"/>
        </w:rPr>
        <w:t>муниципальный округ</w:t>
      </w:r>
      <w:r w:rsidR="00B60A1E">
        <w:t xml:space="preserve"> </w:t>
      </w:r>
      <w:r w:rsidR="00B60A1E" w:rsidRPr="00981C0A">
        <w:rPr>
          <w:bCs/>
          <w:szCs w:val="24"/>
          <w:lang w:bidi="ru-RU"/>
        </w:rPr>
        <w:t>Вологодский</w:t>
      </w:r>
      <w:r w:rsidR="00B60A1E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17D49317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511B8E2E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292A56B9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584DD325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3CAA0769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61EB203C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14407684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080F5BD5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50429E7E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26C736BE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A82D0A">
        <w:rPr>
          <w:bCs/>
          <w:szCs w:val="24"/>
          <w:lang w:bidi="ru-RU"/>
        </w:rPr>
        <w:t xml:space="preserve">211 182,72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38BF13D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A82D0A">
        <w:rPr>
          <w:bCs/>
          <w:szCs w:val="24"/>
          <w:lang w:bidi="ru-RU"/>
        </w:rPr>
        <w:t xml:space="preserve">6 335,48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6AB27F4F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A82D0A">
        <w:rPr>
          <w:bCs/>
          <w:szCs w:val="24"/>
          <w:lang w:bidi="ru-RU"/>
        </w:rPr>
        <w:t xml:space="preserve">211 182,72 </w:t>
      </w:r>
      <w:r w:rsidR="00E37DB4" w:rsidRPr="004A6FB5">
        <w:rPr>
          <w:color w:val="auto"/>
          <w:szCs w:val="24"/>
        </w:rPr>
        <w:t>рублей.</w:t>
      </w:r>
    </w:p>
    <w:p w14:paraId="5CCAE4D8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6EBA28EE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76C112F7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8018C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E69DEA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5E9063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4339E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B4C77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F8470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6EB53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CFA1D0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237D1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26D44C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4F3D34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68FCBD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2F17F1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5A6AF10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696DA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452946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F12E92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4388A6C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C7255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955D7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6D395B62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C73B19E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D71CD5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61DF85B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571A2BD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210362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2F9B98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2150321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C9E43F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EA3447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5887216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318B2C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590222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57B67D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A4C9BE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4806724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3A5A8A1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E71A4E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8D0CD86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6D6954B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7CE3AB72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53532D1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4EB6640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75BE756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6AB97B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FE7F51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0B324C4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139634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4731A93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ECF24EF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BC8D3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62580E1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6722AE9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902C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0DFA73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5C1EFA0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2B6B88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575BF244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D69EC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639B18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5003AD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81224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AFC56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D92AD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6F2948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DDBD44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56B1A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8DA27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43D1D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7B2FB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587858B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BF1451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1F47BEB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B42A3CF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76933A4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93090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272F4FC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D1365B2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C313B8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7C65A8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F8CB442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43EC041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064F3F0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BEF3061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21FCC2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8E903D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E44FDA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7C3285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4EF481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AAD032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A5DD6F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0D0D852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5AB8CE9A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EDAC9B3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A78DD7A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9D55820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8A2B66B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53CE4D6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C23C7E5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3B89A72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C09E3CD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327507E4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EBC7631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F0F10C4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002F64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CB01D00" w14:textId="77777777" w:rsidR="000D7DBB" w:rsidRPr="004716C7" w:rsidRDefault="000D7DBB" w:rsidP="000D7DBB">
      <w:pPr>
        <w:rPr>
          <w:snapToGrid w:val="0"/>
          <w:szCs w:val="24"/>
        </w:rPr>
      </w:pPr>
    </w:p>
    <w:p w14:paraId="4B555CD8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24D7AE20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13FCB6F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76C119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7EB33B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52B7D0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0688F0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642A679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5F967F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C1754A9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617CBFB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69F94E4C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1C3DABF4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04FA6A2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15C77B6B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20D66727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5C400E3F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206F60E1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3D20FB6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450FB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3A4B2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5CB1AB28" w14:textId="77777777" w:rsidR="00C87400" w:rsidRDefault="00C87400" w:rsidP="00C87400">
      <w:pPr>
        <w:ind w:firstLine="567"/>
      </w:pPr>
    </w:p>
    <w:p w14:paraId="2700090E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7682AAA" w14:textId="77777777" w:rsidR="006F456B" w:rsidRDefault="006F456B" w:rsidP="006F456B">
      <w:pPr>
        <w:rPr>
          <w:b/>
          <w:i/>
        </w:rPr>
      </w:pPr>
    </w:p>
    <w:p w14:paraId="023987AA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7416384E" w14:textId="77777777" w:rsidR="00601974" w:rsidRDefault="00601974" w:rsidP="00601974"/>
    <w:p w14:paraId="137B0758" w14:textId="77777777" w:rsidR="00601974" w:rsidRDefault="00601974" w:rsidP="00601974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980E5C">
        <w:rPr>
          <w:bCs/>
          <w:lang w:bidi="ru-RU"/>
        </w:rPr>
        <w:t xml:space="preserve">35:25:0602080:1043, площадью 2128 </w:t>
      </w:r>
      <w:r w:rsidRPr="00FC480A">
        <w:rPr>
          <w:bCs/>
          <w:lang w:bidi="ru-RU"/>
        </w:rPr>
        <w:t>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1D580E0" w14:textId="77777777" w:rsidR="00601974" w:rsidRDefault="00601974" w:rsidP="00601974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26BDFD46" w14:textId="77777777" w:rsidR="00601974" w:rsidRDefault="00601974" w:rsidP="00601974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61AA2F7C" w14:textId="77777777" w:rsidR="00601974" w:rsidRDefault="00601974" w:rsidP="00601974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8EC85B5" w14:textId="77777777" w:rsidR="00601974" w:rsidRDefault="00601974" w:rsidP="00601974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4D24C8C" w14:textId="77777777" w:rsidR="00601974" w:rsidRDefault="00601974" w:rsidP="00601974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2CF3788" w14:textId="77777777" w:rsidR="00601974" w:rsidRDefault="00601974" w:rsidP="00601974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2921760" w14:textId="77777777" w:rsidR="00601974" w:rsidRDefault="00601974" w:rsidP="00601974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99795D8" w14:textId="77777777" w:rsidR="00601974" w:rsidRDefault="00601974" w:rsidP="0060197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75C3C63" w14:textId="77777777" w:rsidR="00601974" w:rsidRDefault="00601974" w:rsidP="0060197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8856F4A" w14:textId="77777777" w:rsidR="00601974" w:rsidRDefault="00601974" w:rsidP="0060197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20B551A" w14:textId="77777777" w:rsidR="00601974" w:rsidRDefault="00601974" w:rsidP="0060197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67CCC3E0" w14:textId="77777777" w:rsidR="00601974" w:rsidRDefault="00601974" w:rsidP="00601974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58344C3" w14:textId="77777777" w:rsidR="00601974" w:rsidRDefault="00601974" w:rsidP="00601974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07F1C542" w14:textId="77777777" w:rsidR="00601974" w:rsidRDefault="00601974" w:rsidP="00601974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1293557" w14:textId="77777777" w:rsidR="00601974" w:rsidRDefault="00601974" w:rsidP="00601974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04F02593" w14:textId="77777777" w:rsidR="00601974" w:rsidRDefault="00601974" w:rsidP="00601974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211 182,72 (двести одиннадцать тысяч сто восемьдесят два) рубля 72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BDE1926" w14:textId="77777777" w:rsidR="00601974" w:rsidRDefault="00601974" w:rsidP="00601974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27788BD" w14:textId="77777777" w:rsidR="00601974" w:rsidRDefault="00601974" w:rsidP="00601974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1EC5B4DF" w14:textId="77777777" w:rsidR="00601974" w:rsidRDefault="00601974" w:rsidP="00601974">
      <w:pPr>
        <w:ind w:firstLine="540"/>
      </w:pPr>
      <w:r>
        <w:t>3.2. Реквизиты для перечисления арендной платы:</w:t>
      </w:r>
    </w:p>
    <w:p w14:paraId="21B88C4E" w14:textId="77777777" w:rsidR="00601974" w:rsidRDefault="00601974" w:rsidP="00601974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FEB5624" w14:textId="77777777" w:rsidR="00601974" w:rsidRDefault="00601974" w:rsidP="00601974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425479B2" w14:textId="77777777" w:rsidR="00601974" w:rsidRDefault="00601974" w:rsidP="00601974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DCD7A9B" w14:textId="77777777" w:rsidR="00601974" w:rsidRDefault="00601974" w:rsidP="00601974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EE55717" w14:textId="77777777" w:rsidR="00601974" w:rsidRDefault="00601974" w:rsidP="00601974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F4ACB79" w14:textId="77777777" w:rsidR="00601974" w:rsidRDefault="00601974" w:rsidP="00601974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436CAAB0" w14:textId="77777777" w:rsidR="006F456B" w:rsidRDefault="006F456B" w:rsidP="002F198D">
      <w:pPr>
        <w:pStyle w:val="29"/>
        <w:spacing w:after="0" w:line="240" w:lineRule="auto"/>
        <w:ind w:firstLine="0"/>
      </w:pPr>
    </w:p>
    <w:p w14:paraId="3ADCF196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92CE48E" w14:textId="77777777" w:rsidR="006F456B" w:rsidRDefault="006F456B" w:rsidP="006F456B">
      <w:pPr>
        <w:ind w:right="-1" w:firstLine="567"/>
        <w:jc w:val="center"/>
      </w:pPr>
    </w:p>
    <w:p w14:paraId="5A48E5FD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39AC02E9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6F882FB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56C5A4F5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75639AC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1EF6030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749F013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A8BCC31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0252BA0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D0758F7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3DECCC47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065A3BF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647BC11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9069E4F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6DF41723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48287CC5" w14:textId="77777777" w:rsidR="006F456B" w:rsidRDefault="006F456B" w:rsidP="006F456B">
      <w:pPr>
        <w:ind w:right="-1" w:firstLine="567"/>
      </w:pPr>
    </w:p>
    <w:p w14:paraId="54477080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53B3BDA8" w14:textId="77777777" w:rsidR="006F456B" w:rsidRDefault="006F456B" w:rsidP="006F456B">
      <w:pPr>
        <w:ind w:right="-1" w:firstLine="720"/>
        <w:jc w:val="center"/>
      </w:pPr>
    </w:p>
    <w:p w14:paraId="317FCA19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0E78E26C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E930BB2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7A3489EC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4C9C0FE8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1A1B03C9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96CFAF5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04E440AE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4392051D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3DB0253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3F50D5C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B0E48C8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E0AE9A3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3B1E8E7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0B40EC31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4B1DA75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6169F5B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CEC52A1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12ACBE5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21DCEF21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3CE7DC9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3BC55B9" w14:textId="77777777" w:rsidR="006F456B" w:rsidRDefault="006F456B" w:rsidP="006F456B">
      <w:pPr>
        <w:ind w:right="-1"/>
        <w:jc w:val="center"/>
      </w:pPr>
    </w:p>
    <w:p w14:paraId="3B315B8C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6F91CC51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758440C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0376DAF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9778694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972917D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B444B51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60A3347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05DDDE5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C166F62" w14:textId="77777777" w:rsidR="006F456B" w:rsidRDefault="006F456B" w:rsidP="006F456B">
      <w:pPr>
        <w:ind w:right="-2"/>
      </w:pPr>
    </w:p>
    <w:p w14:paraId="13BBF099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C09E9EF" w14:textId="77777777" w:rsidR="006F456B" w:rsidRDefault="006F456B" w:rsidP="006F456B">
      <w:pPr>
        <w:ind w:right="-2"/>
        <w:jc w:val="center"/>
      </w:pPr>
    </w:p>
    <w:p w14:paraId="13605330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1641859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28070C37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16C5374" w14:textId="77777777" w:rsidR="006F456B" w:rsidRDefault="006F456B" w:rsidP="006F456B">
      <w:pPr>
        <w:ind w:right="-2"/>
        <w:jc w:val="center"/>
        <w:rPr>
          <w:b/>
        </w:rPr>
      </w:pPr>
    </w:p>
    <w:p w14:paraId="23CA48D5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258D5FE" w14:textId="102606ED" w:rsidR="00E06BB6" w:rsidRPr="004716C7" w:rsidRDefault="00AC50D0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12972E" wp14:editId="533E17D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3690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B81D3F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EAD861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1FD241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475FB37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D74E640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8B1EF0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D2CC2B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9364C5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31B23BB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336A862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2972E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A23690B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B81D3F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EAD861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1FD241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475FB37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D74E640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8B1EF0E" w14:textId="77777777" w:rsidR="00E06BB6" w:rsidRDefault="00E06BB6" w:rsidP="00E06BB6">
                      <w:pPr>
                        <w:ind w:right="-568"/>
                      </w:pPr>
                    </w:p>
                    <w:p w14:paraId="6D2CC2B3" w14:textId="77777777" w:rsidR="00E06BB6" w:rsidRDefault="00E06BB6" w:rsidP="00E06BB6">
                      <w:pPr>
                        <w:ind w:right="-568"/>
                      </w:pPr>
                    </w:p>
                    <w:p w14:paraId="69364C54" w14:textId="77777777" w:rsidR="00E06BB6" w:rsidRDefault="00E06BB6" w:rsidP="00E06BB6">
                      <w:pPr>
                        <w:ind w:right="-568"/>
                      </w:pPr>
                    </w:p>
                    <w:p w14:paraId="631B23BB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336A862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E785C" wp14:editId="7EFE48B5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E50A4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0487D1F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7F4DB10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784D59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E04025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AD990D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795DFB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BB4735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4BA37E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6FFB4E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ACC7BF5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E785C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F5E50A4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0487D1F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7F4DB10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784D59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E040250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AD990D5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795DFB8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BB4735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4BA37E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6FFB4E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ACC7BF5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4516371B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04CEBBE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21FC7ED7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E9AB507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01FBB3D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C5EEA01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0043EFD9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955163F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043547D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20D3354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F76D0EB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C399213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7A5C06A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CD3705B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68A48B3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213B56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922D0A3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57AADB1A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50A455C7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4B7B8B42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5D9A4641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2861F4E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E6BB831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5862D3C" w14:textId="77777777" w:rsidR="00601974" w:rsidRDefault="00601974" w:rsidP="00601974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980E5C">
        <w:rPr>
          <w:bCs/>
          <w:lang w:bidi="ru-RU"/>
        </w:rPr>
        <w:t xml:space="preserve">35:25:0602080:1043, площадью 2128 </w:t>
      </w:r>
      <w:r w:rsidRPr="00FC480A">
        <w:rPr>
          <w:bCs/>
          <w:lang w:bidi="ru-RU"/>
        </w:rPr>
        <w:t>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78223E5" w14:textId="77777777" w:rsidR="00601974" w:rsidRDefault="00601974" w:rsidP="00601974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56A804DF" w14:textId="77777777" w:rsidR="00601974" w:rsidRDefault="00601974" w:rsidP="00601974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06CFC272" w14:textId="77777777" w:rsidR="00601974" w:rsidRDefault="00601974" w:rsidP="00601974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B634450" w14:textId="77777777" w:rsidR="00601974" w:rsidRDefault="00601974" w:rsidP="00601974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A40940B" w14:textId="77777777" w:rsidR="00601974" w:rsidRDefault="00601974" w:rsidP="00601974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A7C41E2" w14:textId="77777777" w:rsidR="00601974" w:rsidRDefault="00601974" w:rsidP="00601974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0BF87DC8" w14:textId="036AD258" w:rsidR="00601974" w:rsidRDefault="00601974" w:rsidP="00601974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AC50D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9C2130" wp14:editId="6CDA07D1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0AC70" w14:textId="77777777" w:rsidR="00601974" w:rsidRDefault="00601974" w:rsidP="00601974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413E7E8" w14:textId="77777777" w:rsidR="00601974" w:rsidRDefault="00601974" w:rsidP="00601974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AB470FE" w14:textId="77777777" w:rsidR="00601974" w:rsidRDefault="00601974" w:rsidP="00601974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9C2130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8F0AC70" w14:textId="77777777" w:rsidR="00601974" w:rsidRDefault="00601974" w:rsidP="00601974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413E7E8" w14:textId="77777777" w:rsidR="00601974" w:rsidRDefault="00601974" w:rsidP="00601974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AB470FE" w14:textId="77777777" w:rsidR="00601974" w:rsidRDefault="00601974" w:rsidP="00601974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FE0CBD" w14:textId="77777777" w:rsidR="00601974" w:rsidRDefault="00601974" w:rsidP="00601974">
      <w:pPr>
        <w:spacing w:line="360" w:lineRule="auto"/>
        <w:ind w:left="720"/>
      </w:pPr>
      <w:r>
        <w:t>____________________ руб. ______ коп, не позднее 15.02.2026</w:t>
      </w:r>
    </w:p>
    <w:p w14:paraId="6B3B9981" w14:textId="77777777" w:rsidR="00601974" w:rsidRDefault="00601974" w:rsidP="00601974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87CEAD0" w14:textId="77777777" w:rsidR="00601974" w:rsidRDefault="00601974" w:rsidP="00601974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B491EA2" w14:textId="77777777" w:rsidR="00601974" w:rsidRDefault="00601974" w:rsidP="00601974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5F28E3FF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3EBFA1DA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8B0F778" w14:textId="201D01F0" w:rsidR="00954C1E" w:rsidRPr="004716C7" w:rsidRDefault="00AC50D0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B1F805" wp14:editId="7B8E609B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FE86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9643FE9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5F4D53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CA382E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7E1CA6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C1EE69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1F805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B5FE86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9643FE9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5F4D53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CA382E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7E1CA6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C1EE69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49987" wp14:editId="01A16973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E571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C10447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71FF9D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0BFF71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F76BBE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49987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86E571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C10447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71FF9D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0BFF71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F76BBE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A5BC" w14:textId="77777777" w:rsidR="00D17545" w:rsidRDefault="00D17545" w:rsidP="00B234FF">
      <w:r>
        <w:separator/>
      </w:r>
    </w:p>
  </w:endnote>
  <w:endnote w:type="continuationSeparator" w:id="0">
    <w:p w14:paraId="6D3760B5" w14:textId="77777777" w:rsidR="00D17545" w:rsidRDefault="00D17545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CA46" w14:textId="77777777" w:rsidR="00856046" w:rsidRDefault="00B0413F" w:rsidP="004E6BD9">
    <w:r>
      <w:fldChar w:fldCharType="begin"/>
    </w:r>
    <w:r w:rsidR="00E61365">
      <w:instrText xml:space="preserve">PAGE </w:instrText>
    </w:r>
    <w:r>
      <w:fldChar w:fldCharType="separate"/>
    </w:r>
    <w:r w:rsidR="00AD414F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28EC" w14:textId="77777777" w:rsidR="00856046" w:rsidRDefault="00B0413F" w:rsidP="00B234FF">
    <w:r>
      <w:fldChar w:fldCharType="begin"/>
    </w:r>
    <w:r w:rsidR="00E61365">
      <w:instrText xml:space="preserve">PAGE </w:instrText>
    </w:r>
    <w:r>
      <w:fldChar w:fldCharType="separate"/>
    </w:r>
    <w:r w:rsidR="00AD414F">
      <w:rPr>
        <w:noProof/>
      </w:rPr>
      <w:t>1</w:t>
    </w:r>
    <w:r>
      <w:rPr>
        <w:noProof/>
      </w:rPr>
      <w:fldChar w:fldCharType="end"/>
    </w:r>
  </w:p>
  <w:p w14:paraId="5194DA06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B559" w14:textId="77777777" w:rsidR="00D17545" w:rsidRDefault="00D17545" w:rsidP="00B234FF">
      <w:r>
        <w:separator/>
      </w:r>
    </w:p>
  </w:footnote>
  <w:footnote w:type="continuationSeparator" w:id="0">
    <w:p w14:paraId="700B1297" w14:textId="77777777" w:rsidR="00D17545" w:rsidRDefault="00D17545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1AB9"/>
    <w:rsid w:val="002B261E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01974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2D0A"/>
    <w:rsid w:val="00A853AF"/>
    <w:rsid w:val="00A85D06"/>
    <w:rsid w:val="00AA1D67"/>
    <w:rsid w:val="00AC50D0"/>
    <w:rsid w:val="00AD414F"/>
    <w:rsid w:val="00AD5D5D"/>
    <w:rsid w:val="00AE4210"/>
    <w:rsid w:val="00AE7214"/>
    <w:rsid w:val="00AF127F"/>
    <w:rsid w:val="00AF5DEF"/>
    <w:rsid w:val="00B00D7A"/>
    <w:rsid w:val="00B03F75"/>
    <w:rsid w:val="00B0413F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1754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4DF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5E38CEAD"/>
  <w15:docId w15:val="{FF3F4F21-BB38-4B8F-BEC1-23109F5B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5387</Words>
  <Characters>30711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2025-04-09T10:13:00Z</dcterms:created>
  <dcterms:modified xsi:type="dcterms:W3CDTF">2025-04-09T10:13:00Z</dcterms:modified>
</cp:coreProperties>
</file>